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1BD28" w14:textId="77777777" w:rsidR="00C64B1B" w:rsidRPr="009F56C9" w:rsidRDefault="00C64B1B" w:rsidP="009F56C9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103"/>
        <w:gridCol w:w="2977"/>
        <w:gridCol w:w="3769"/>
      </w:tblGrid>
      <w:tr w:rsidR="00A06425" w:rsidRPr="009F56C9" w14:paraId="37158E04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DAD940C" w14:textId="28E383BE" w:rsidR="00A06425" w:rsidRPr="009F56C9" w:rsidRDefault="00A06425" w:rsidP="00CC6F6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57942" w:rsidRPr="009F56C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 </w:t>
            </w:r>
            <w:r w:rsidR="005D770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projekt </w:t>
            </w:r>
            <w:r w:rsidR="00E57942" w:rsidRPr="009F56C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ustawy o niektórych umowach zawieranych elektronicznie oraz o zmianie ustawy o pomocy społecznej (UD 23</w:t>
            </w:r>
            <w:r w:rsidR="00C67A8F" w:rsidRPr="009F56C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0</w:t>
            </w:r>
            <w:r w:rsidR="00E57942" w:rsidRPr="009F56C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)</w:t>
            </w:r>
          </w:p>
        </w:tc>
      </w:tr>
      <w:tr w:rsidR="00A06425" w:rsidRPr="009F56C9" w14:paraId="615141FC" w14:textId="77777777" w:rsidTr="004C7B36">
        <w:tc>
          <w:tcPr>
            <w:tcW w:w="562" w:type="dxa"/>
            <w:shd w:val="clear" w:color="auto" w:fill="auto"/>
            <w:vAlign w:val="center"/>
          </w:tcPr>
          <w:p w14:paraId="50F5FA75" w14:textId="77777777" w:rsidR="00A06425" w:rsidRPr="009F56C9" w:rsidRDefault="00A06425" w:rsidP="009F56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962D87" w14:textId="77777777" w:rsidR="00A06425" w:rsidRPr="009F56C9" w:rsidRDefault="00A06425" w:rsidP="009F56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5D5169" w14:textId="77777777" w:rsidR="00A06425" w:rsidRPr="009F56C9" w:rsidRDefault="00A06425" w:rsidP="009F56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4208F9EB" w14:textId="77777777" w:rsidR="00A06425" w:rsidRPr="009F56C9" w:rsidRDefault="00A06425" w:rsidP="009F56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D687EDD" w14:textId="77777777" w:rsidR="00A06425" w:rsidRPr="009F56C9" w:rsidRDefault="00A06425" w:rsidP="009F56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769" w:type="dxa"/>
            <w:vAlign w:val="center"/>
          </w:tcPr>
          <w:p w14:paraId="5CD7E3F6" w14:textId="77777777" w:rsidR="00A06425" w:rsidRPr="009F56C9" w:rsidRDefault="00A06425" w:rsidP="009F56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9F56C9" w14:paraId="628B6631" w14:textId="77777777" w:rsidTr="004C7B36">
        <w:tc>
          <w:tcPr>
            <w:tcW w:w="562" w:type="dxa"/>
            <w:shd w:val="clear" w:color="auto" w:fill="auto"/>
          </w:tcPr>
          <w:p w14:paraId="055D56CA" w14:textId="793AAC6D" w:rsidR="00A06425" w:rsidRPr="009F56C9" w:rsidRDefault="00A06425" w:rsidP="009F56C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5528D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68D7289F" w14:textId="214ACF9F" w:rsidR="00A06425" w:rsidRPr="009F56C9" w:rsidRDefault="00537CC6" w:rsidP="009F56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9F56C9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13E402B" w14:textId="7B794645" w:rsidR="00A06425" w:rsidRPr="009F56C9" w:rsidRDefault="00537CC6" w:rsidP="009F56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OSR – wpływ na sektor finansów publicznych</w:t>
            </w:r>
          </w:p>
        </w:tc>
        <w:tc>
          <w:tcPr>
            <w:tcW w:w="5103" w:type="dxa"/>
            <w:shd w:val="clear" w:color="auto" w:fill="auto"/>
          </w:tcPr>
          <w:p w14:paraId="6C307461" w14:textId="4149B5AC" w:rsidR="00A06425" w:rsidRPr="009F56C9" w:rsidRDefault="00BE592F" w:rsidP="009F56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MRiT</w:t>
            </w:r>
            <w:proofErr w:type="spellEnd"/>
            <w:r w:rsidRPr="009F56C9">
              <w:rPr>
                <w:rFonts w:asciiTheme="minorHAnsi" w:hAnsiTheme="minorHAnsi" w:cstheme="minorHAnsi"/>
                <w:sz w:val="22"/>
                <w:szCs w:val="22"/>
              </w:rPr>
              <w:t xml:space="preserve"> zwraca uwagę, że w OSR do ustawy wymienione zostały wyłącznie wydatki, które mają zostać poniesione przez </w:t>
            </w:r>
            <w:r w:rsidR="00A06392" w:rsidRPr="009F56C9">
              <w:rPr>
                <w:rFonts w:asciiTheme="minorHAnsi" w:hAnsiTheme="minorHAnsi" w:cstheme="minorHAnsi"/>
                <w:sz w:val="22"/>
                <w:szCs w:val="22"/>
              </w:rPr>
              <w:t>MRiPS. W świet</w:t>
            </w:r>
            <w:bookmarkStart w:id="0" w:name="_GoBack"/>
            <w:bookmarkEnd w:id="0"/>
            <w:r w:rsidR="00A06392" w:rsidRPr="009F56C9">
              <w:rPr>
                <w:rFonts w:asciiTheme="minorHAnsi" w:hAnsiTheme="minorHAnsi" w:cstheme="minorHAnsi"/>
                <w:sz w:val="22"/>
                <w:szCs w:val="22"/>
              </w:rPr>
              <w:t>le art. 2 ust. 3 i konieczności zapewnienia integracji rozwiązania z systemem Punktu Informacji dla Przedsiębiorcy, konieczne w ocenie skutków finansowych jest przewidzenie wydatków związanych z dostosowaniem narzędzia do wymogów ustawy.</w:t>
            </w:r>
          </w:p>
        </w:tc>
        <w:tc>
          <w:tcPr>
            <w:tcW w:w="2977" w:type="dxa"/>
            <w:shd w:val="clear" w:color="auto" w:fill="auto"/>
          </w:tcPr>
          <w:p w14:paraId="19EDA760" w14:textId="3061F51B" w:rsidR="00A06425" w:rsidRPr="009F56C9" w:rsidRDefault="00A06392" w:rsidP="009227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 xml:space="preserve">Dodanie informacji o wydatkach wynikających z konieczności zapewnienia integracji rozwiązania PIP według wyliczeń wskazanych w </w:t>
            </w:r>
            <w:r w:rsidR="004849B8" w:rsidRPr="009F56C9">
              <w:rPr>
                <w:rFonts w:asciiTheme="minorHAnsi" w:hAnsiTheme="minorHAnsi" w:cstheme="minorHAnsi"/>
                <w:sz w:val="22"/>
                <w:szCs w:val="22"/>
              </w:rPr>
              <w:t xml:space="preserve">załączniku do </w:t>
            </w:r>
            <w:r w:rsidR="00FD15B3" w:rsidRPr="009F56C9">
              <w:rPr>
                <w:rFonts w:asciiTheme="minorHAnsi" w:hAnsiTheme="minorHAnsi" w:cstheme="minorHAnsi"/>
                <w:sz w:val="22"/>
                <w:szCs w:val="22"/>
              </w:rPr>
              <w:t>tabeli uwag</w:t>
            </w:r>
          </w:p>
        </w:tc>
        <w:tc>
          <w:tcPr>
            <w:tcW w:w="3769" w:type="dxa"/>
          </w:tcPr>
          <w:p w14:paraId="411FA51E" w14:textId="77777777" w:rsidR="00BA76D1" w:rsidRDefault="00CC6F6D" w:rsidP="00BD7D3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6F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4D3AC459" w14:textId="010B6A94" w:rsidR="00A06425" w:rsidRPr="009F56C9" w:rsidRDefault="00CC6F6D" w:rsidP="00BD7D3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OSR </w:t>
            </w:r>
            <w:r w:rsidR="00BA76D1">
              <w:rPr>
                <w:rFonts w:asciiTheme="minorHAnsi" w:hAnsiTheme="minorHAnsi" w:cstheme="minorHAnsi"/>
                <w:sz w:val="22"/>
                <w:szCs w:val="22"/>
              </w:rPr>
              <w:t xml:space="preserve">zostanie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uzupełnion</w:t>
            </w:r>
            <w:r w:rsidR="00BA76D1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</w:t>
            </w:r>
            <w:r w:rsidRPr="00CC6F6D">
              <w:rPr>
                <w:rFonts w:asciiTheme="minorHAnsi" w:hAnsiTheme="minorHAnsi" w:cstheme="minorHAnsi"/>
                <w:sz w:val="22"/>
                <w:szCs w:val="22"/>
              </w:rPr>
              <w:t>wydat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ki</w:t>
            </w:r>
            <w:r w:rsidR="00194232">
              <w:rPr>
                <w:rFonts w:asciiTheme="minorHAnsi" w:hAnsiTheme="minorHAnsi" w:cstheme="minorHAnsi"/>
                <w:sz w:val="22"/>
                <w:szCs w:val="22"/>
              </w:rPr>
              <w:t xml:space="preserve"> wynikające</w:t>
            </w:r>
            <w:r w:rsidRPr="00CC6F6D">
              <w:rPr>
                <w:rFonts w:asciiTheme="minorHAnsi" w:hAnsiTheme="minorHAnsi" w:cstheme="minorHAnsi"/>
                <w:sz w:val="22"/>
                <w:szCs w:val="22"/>
              </w:rPr>
              <w:t xml:space="preserve"> z konieczności zapewnienia integracji rozwiązania </w:t>
            </w:r>
            <w:r w:rsidR="00E865B6">
              <w:rPr>
                <w:rFonts w:asciiTheme="minorHAnsi" w:hAnsiTheme="minorHAnsi" w:cstheme="minorHAnsi"/>
                <w:sz w:val="22"/>
                <w:szCs w:val="22"/>
              </w:rPr>
              <w:t xml:space="preserve">z systemem </w:t>
            </w: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Punktu Informacji dla Przedsiębiorcy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CC6F6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A06425" w:rsidRPr="009F56C9" w14:paraId="7FF035EF" w14:textId="77777777" w:rsidTr="004C7B36">
        <w:tc>
          <w:tcPr>
            <w:tcW w:w="562" w:type="dxa"/>
            <w:shd w:val="clear" w:color="auto" w:fill="auto"/>
          </w:tcPr>
          <w:p w14:paraId="18DC5A2B" w14:textId="5AF5BD0B" w:rsidR="00A06425" w:rsidRPr="009F56C9" w:rsidRDefault="00A06425" w:rsidP="009F56C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5528D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587BDA78" w14:textId="29268A1D" w:rsidR="00A06425" w:rsidRPr="009F56C9" w:rsidRDefault="00537CC6" w:rsidP="009F56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9F56C9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27905F0" w14:textId="129F0E50" w:rsidR="00A06425" w:rsidRPr="009F56C9" w:rsidRDefault="00537CC6" w:rsidP="009F56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Projekt ustawy – Art. 4 ust. 1</w:t>
            </w:r>
          </w:p>
        </w:tc>
        <w:tc>
          <w:tcPr>
            <w:tcW w:w="5103" w:type="dxa"/>
            <w:shd w:val="clear" w:color="auto" w:fill="auto"/>
          </w:tcPr>
          <w:p w14:paraId="17E58196" w14:textId="5C094377" w:rsidR="00A06425" w:rsidRPr="009F56C9" w:rsidRDefault="00537CC6" w:rsidP="009F56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Ustawodawca przewiduje wśród funkcjonalności Systemu funkcjonalność rozwiązania umowy. Czy przedmiotowa kategoria obejmuje również obsługę związaną z wypowiedzeniem umowy? W ramach uwagi wnosimy o rozważenie czy funkcjonalności wypowiedzenia i rozwiązania umowy nie powinny zostać wymienione osobno.</w:t>
            </w:r>
          </w:p>
        </w:tc>
        <w:tc>
          <w:tcPr>
            <w:tcW w:w="2977" w:type="dxa"/>
            <w:shd w:val="clear" w:color="auto" w:fill="auto"/>
          </w:tcPr>
          <w:p w14:paraId="5AA91036" w14:textId="6FAABAB3" w:rsidR="00A06425" w:rsidRPr="009F56C9" w:rsidRDefault="00537CC6" w:rsidP="009F56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Według decyzji ustawodawcy</w:t>
            </w:r>
          </w:p>
        </w:tc>
        <w:tc>
          <w:tcPr>
            <w:tcW w:w="3769" w:type="dxa"/>
          </w:tcPr>
          <w:p w14:paraId="56888EE1" w14:textId="77777777" w:rsidR="00C42F93" w:rsidRDefault="00CC6F6D" w:rsidP="00E865B6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6F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</w:p>
          <w:p w14:paraId="22DFD4B7" w14:textId="4FDE1F1C" w:rsidR="00A06425" w:rsidRPr="00CC6F6D" w:rsidRDefault="00CC6F6D" w:rsidP="00E865B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</w:t>
            </w:r>
            <w:r w:rsidR="00E865B6">
              <w:rPr>
                <w:rFonts w:asciiTheme="minorHAnsi" w:hAnsiTheme="minorHAnsi" w:cstheme="minorHAnsi"/>
                <w:sz w:val="22"/>
                <w:szCs w:val="22"/>
              </w:rPr>
              <w:t>unkcjonalność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Systemu </w:t>
            </w:r>
            <w:r w:rsidR="00E865B6">
              <w:rPr>
                <w:rFonts w:asciiTheme="minorHAnsi" w:hAnsiTheme="minorHAnsi" w:cstheme="minorHAnsi"/>
                <w:sz w:val="22"/>
                <w:szCs w:val="22"/>
              </w:rPr>
              <w:t xml:space="preserve">zostanie uzupełniona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 </w:t>
            </w:r>
            <w:r w:rsidR="00E865B6">
              <w:rPr>
                <w:rFonts w:asciiTheme="minorHAnsi" w:hAnsiTheme="minorHAnsi" w:cstheme="minorHAnsi"/>
                <w:sz w:val="22"/>
                <w:szCs w:val="22"/>
              </w:rPr>
              <w:t xml:space="preserve">wypowiedzenie </w:t>
            </w: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umowy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</w:tr>
      <w:tr w:rsidR="00A06425" w:rsidRPr="009F56C9" w14:paraId="1ABA5EDD" w14:textId="77777777" w:rsidTr="004C7B36">
        <w:tc>
          <w:tcPr>
            <w:tcW w:w="562" w:type="dxa"/>
            <w:shd w:val="clear" w:color="auto" w:fill="auto"/>
          </w:tcPr>
          <w:p w14:paraId="3D5220A3" w14:textId="20623B1F" w:rsidR="00A06425" w:rsidRPr="009F56C9" w:rsidRDefault="00A06425" w:rsidP="009F56C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5528D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12BAEF26" w14:textId="7C5DCFB0" w:rsidR="00A06425" w:rsidRPr="009F56C9" w:rsidRDefault="004956E8" w:rsidP="009F56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9F56C9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87547CB" w14:textId="3C9732A5" w:rsidR="00A06425" w:rsidRPr="009F56C9" w:rsidRDefault="004956E8" w:rsidP="009F56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Projekt ustawy – Art. 6</w:t>
            </w:r>
          </w:p>
        </w:tc>
        <w:tc>
          <w:tcPr>
            <w:tcW w:w="5103" w:type="dxa"/>
            <w:shd w:val="clear" w:color="auto" w:fill="auto"/>
          </w:tcPr>
          <w:p w14:paraId="364FF90F" w14:textId="7A34C9F1" w:rsidR="00A06425" w:rsidRPr="009F56C9" w:rsidRDefault="004956E8" w:rsidP="009F56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Proponujemy rozważenie zmiany projektowanego przepisu art. 6 w ten sposób, aby umowa o pracę w przypadku pracodawcy będącego osobą fizyczną prowadzącą działalność gospodarczą określała stałe miejsce wykonywania działalności albo, w razie jego nieposiadania adres do doręczeń, zamiast adresu zamieszkania. Osoba fizyczna nie posiada również siedziby.</w:t>
            </w:r>
            <w:r w:rsidR="00E57942" w:rsidRPr="009F56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 xml:space="preserve">Osoby fizyczne prowadzące działalność gospodarczą posługują się adresem do doręczeń oraz – jeżeli przedsiębiorca takie miejsce posiada – adresem stałego miejsca wykonywania działalności gospodarczej. </w:t>
            </w:r>
            <w:r w:rsidR="00E57942" w:rsidRPr="009F56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 xml:space="preserve">Zgodnie z art. 5 ust 1 pkt 6) ustawy z dnia 6 marca 2018 r. o Centralnej Ewidencji i Informacji o Działalności Gospodarczej i Punkcie Informacji dla Przedsiębiorcy (Dz. U. z 2020 r., poz. 2296), te dane ewidencyjne są wpisywane do CEIDG. Osoby fizyczne </w:t>
            </w:r>
            <w:r w:rsidRPr="009F56C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prowadzące działalność gospodarczą często są w posiadaniu lokali przeznaczonych na potrzeby prowadzenia działalności. W takim przypadku nie jest konieczne, aby zatrudniani pracownicy znali miejsce zamieszkania przedsiębiorcy, skoro jego tożsamość może być określona poprzez wskazanie miejsca wykonywania działalności. Zmiana art. 6 ust 1 pkt 2 spowoduje, że analogiczne dane dotyczące adresu będą wymagane od zleceniodawcy (art. 6 ust 2 pkt 2), będącego osobą fizyczną prowadzącą działalność gospodarczą.</w:t>
            </w:r>
            <w:r w:rsidR="00E57942" w:rsidRPr="009F56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 xml:space="preserve">Zwrócić należy uwagę, że powyższe koresponduje z przepisem art. 126 § 2 pkt 1) ustawy z dnia </w:t>
            </w:r>
            <w:r w:rsidR="00E57942" w:rsidRPr="009F56C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17 listopada 1964 r. Kodeks postępowania cywilnego (Dz. U. z 2021 r., poz. 1805), zgodnie z którym, gdy strona jest przedsiębiorcą wpisanym do Centralnej Ewidencji i Informacji o Działalności</w:t>
            </w:r>
          </w:p>
        </w:tc>
        <w:tc>
          <w:tcPr>
            <w:tcW w:w="2977" w:type="dxa"/>
            <w:shd w:val="clear" w:color="auto" w:fill="auto"/>
          </w:tcPr>
          <w:p w14:paraId="351284C6" w14:textId="5111BA9A" w:rsidR="00A06425" w:rsidRPr="009F56C9" w:rsidRDefault="004956E8" w:rsidP="009F56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Według decyzji ustawodawcy</w:t>
            </w:r>
          </w:p>
        </w:tc>
        <w:tc>
          <w:tcPr>
            <w:tcW w:w="3769" w:type="dxa"/>
          </w:tcPr>
          <w:p w14:paraId="4CD1266E" w14:textId="77777777" w:rsidR="00A06425" w:rsidRDefault="00CC6F6D" w:rsidP="00C42F9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6F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Uwaga </w:t>
            </w:r>
            <w:r w:rsidR="00C42F9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uwzględniona </w:t>
            </w:r>
          </w:p>
          <w:p w14:paraId="227C6EFB" w14:textId="30CBBE5B" w:rsidR="00C42F93" w:rsidRPr="00C42F93" w:rsidRDefault="00C42F93" w:rsidP="00C42F9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42F9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Przepis art. 6 </w:t>
            </w:r>
            <w:r w:rsidR="00AA5F9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projektu </w:t>
            </w:r>
            <w:r w:rsidRPr="00C42F93">
              <w:rPr>
                <w:rFonts w:asciiTheme="minorHAnsi" w:hAnsiTheme="minorHAnsi" w:cstheme="minorHAnsi"/>
                <w:bCs/>
                <w:sz w:val="22"/>
                <w:szCs w:val="22"/>
              </w:rPr>
              <w:t>zostanie skorygowany zgodnie z</w:t>
            </w:r>
            <w:r w:rsidR="00AA5F95" w:rsidRPr="009F56C9">
              <w:rPr>
                <w:rFonts w:asciiTheme="minorHAnsi" w:hAnsiTheme="minorHAnsi" w:cstheme="minorHAnsi"/>
                <w:sz w:val="22"/>
                <w:szCs w:val="22"/>
              </w:rPr>
              <w:t xml:space="preserve"> art. 5 ust 1 pkt 6</w:t>
            </w:r>
            <w:r w:rsidR="00FC1C2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ustawy </w:t>
            </w:r>
            <w:r w:rsidRPr="00C42F93">
              <w:rPr>
                <w:rFonts w:asciiTheme="minorHAnsi" w:hAnsiTheme="minorHAnsi" w:cstheme="minorHAnsi"/>
                <w:bCs/>
                <w:sz w:val="22"/>
                <w:szCs w:val="22"/>
              </w:rPr>
              <w:t>z dnia 6 marca 2018 r. o Centralnej Ewidencji i Informacji o Działalności Gospodarczej</w:t>
            </w:r>
          </w:p>
        </w:tc>
      </w:tr>
      <w:tr w:rsidR="00A06425" w:rsidRPr="009F56C9" w14:paraId="561CB970" w14:textId="77777777" w:rsidTr="004C7B36">
        <w:tc>
          <w:tcPr>
            <w:tcW w:w="562" w:type="dxa"/>
            <w:shd w:val="clear" w:color="auto" w:fill="auto"/>
          </w:tcPr>
          <w:p w14:paraId="7AD6094A" w14:textId="7382CBDB" w:rsidR="00A06425" w:rsidRPr="009F56C9" w:rsidRDefault="00A06425" w:rsidP="009F56C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5528D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02F6741" w14:textId="2E7FCD01" w:rsidR="00A06425" w:rsidRPr="009F56C9" w:rsidRDefault="00E57942" w:rsidP="009F56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9F56C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708D94F9" w14:textId="77777777" w:rsidR="00E57942" w:rsidRPr="009F56C9" w:rsidRDefault="00E57942" w:rsidP="009F56C9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Uzasadnienie oraz</w:t>
            </w:r>
          </w:p>
          <w:p w14:paraId="3598D665" w14:textId="38AEAB46" w:rsidR="00A06425" w:rsidRPr="009F56C9" w:rsidRDefault="00E57942" w:rsidP="0060496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OSR projektu ustawy</w:t>
            </w:r>
          </w:p>
        </w:tc>
        <w:tc>
          <w:tcPr>
            <w:tcW w:w="5103" w:type="dxa"/>
            <w:shd w:val="clear" w:color="auto" w:fill="auto"/>
          </w:tcPr>
          <w:p w14:paraId="4365B9DC" w14:textId="27B585FA" w:rsidR="00A06425" w:rsidRPr="009F56C9" w:rsidRDefault="00E57942" w:rsidP="009F56C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Zarówno uzasadnienie, jak i OSR przedkładanego projektu ustawy w niewystarczającym stopniu opisują sposób realizacji kamienia milowego A51G KPO, ponieważ nie przytoczono konkretnych artykułów projektu ustawy, które wdrażają konkretne zapisy ww. kamienia milowego.</w:t>
            </w:r>
          </w:p>
        </w:tc>
        <w:tc>
          <w:tcPr>
            <w:tcW w:w="2977" w:type="dxa"/>
            <w:shd w:val="clear" w:color="auto" w:fill="auto"/>
          </w:tcPr>
          <w:p w14:paraId="3097F4A1" w14:textId="121FFDC6" w:rsidR="00A06425" w:rsidRPr="009F56C9" w:rsidRDefault="00E57942" w:rsidP="009F56C9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Zalecane jest zamieszczenie szczegółowych informacji (zarówno w OSR, jak i Uzasadnieniu) zgodnie z wymogami dotyczącymi poprawnego przedstawiania zakresu informacji odnoszących się do opisu realizacji kamieni milowych KPO w aktach legislacyjnych, które zostały przekazane w piśmie z dnia 28 kwietnia br. znak: DSR-Xd.5201.8.2022.AZ.</w:t>
            </w:r>
          </w:p>
        </w:tc>
        <w:tc>
          <w:tcPr>
            <w:tcW w:w="3769" w:type="dxa"/>
          </w:tcPr>
          <w:p w14:paraId="53BCABFD" w14:textId="77777777" w:rsidR="00C42F93" w:rsidRDefault="00CD55D6" w:rsidP="00BD7D36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6F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</w:p>
          <w:p w14:paraId="509097CF" w14:textId="24CF5597" w:rsidR="00A06425" w:rsidRPr="00CD55D6" w:rsidRDefault="00CD55D6" w:rsidP="004622D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OSR i uzasadnienie </w:t>
            </w:r>
            <w:r w:rsidR="004622D1">
              <w:rPr>
                <w:rFonts w:asciiTheme="minorHAnsi" w:hAnsiTheme="minorHAnsi" w:cstheme="minorHAnsi"/>
                <w:sz w:val="22"/>
                <w:szCs w:val="22"/>
              </w:rPr>
              <w:t xml:space="preserve">zostaną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uzupełnione </w:t>
            </w: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zgodnie z wymogami dotyczącymi poprawnego przedstawiania zakresu informacji odnoszących się do opisu realizacji kamieni milowy</w:t>
            </w:r>
            <w:r w:rsidR="004622D1">
              <w:rPr>
                <w:rFonts w:asciiTheme="minorHAnsi" w:hAnsiTheme="minorHAnsi" w:cstheme="minorHAnsi"/>
                <w:sz w:val="22"/>
                <w:szCs w:val="22"/>
              </w:rPr>
              <w:t xml:space="preserve">ch KPO w aktach legislacyjnych. </w:t>
            </w:r>
          </w:p>
        </w:tc>
      </w:tr>
      <w:tr w:rsidR="003E1012" w:rsidRPr="009F56C9" w14:paraId="0E3CDE96" w14:textId="77777777" w:rsidTr="004C7B36">
        <w:tc>
          <w:tcPr>
            <w:tcW w:w="562" w:type="dxa"/>
            <w:shd w:val="clear" w:color="auto" w:fill="auto"/>
          </w:tcPr>
          <w:p w14:paraId="2702E457" w14:textId="7BD38837" w:rsidR="003E1012" w:rsidRPr="009F56C9" w:rsidRDefault="003E1012" w:rsidP="009F56C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5528D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4FEB19A" w14:textId="21418BEB" w:rsidR="003E1012" w:rsidRPr="009F56C9" w:rsidRDefault="003E1012" w:rsidP="009F56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29F02C2D" w14:textId="586FDDC8" w:rsidR="003E1012" w:rsidRPr="009F56C9" w:rsidRDefault="003E1012" w:rsidP="009F56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art. 5 ust. 4</w:t>
            </w:r>
          </w:p>
        </w:tc>
        <w:tc>
          <w:tcPr>
            <w:tcW w:w="5103" w:type="dxa"/>
            <w:shd w:val="clear" w:color="auto" w:fill="auto"/>
          </w:tcPr>
          <w:p w14:paraId="76FF0AF0" w14:textId="77777777" w:rsidR="003E1012" w:rsidRPr="009F56C9" w:rsidRDefault="003E1012" w:rsidP="009F56C9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W zakresie projektowanego art. 5 ust. 4 należy zauważyć, że nie wydaje się konieczne oraz uzasadnione wprowadzenie regulacji, że opatrzenie umowy kwalifikowanym podpisem elektronicznym wywołuje skutek prawny równoważny podpisowi własnoręcznemu.</w:t>
            </w:r>
          </w:p>
          <w:p w14:paraId="31539E43" w14:textId="77777777" w:rsidR="003E1012" w:rsidRPr="009F56C9" w:rsidRDefault="003E1012" w:rsidP="009F56C9">
            <w:pPr>
              <w:tabs>
                <w:tab w:val="left" w:pos="540"/>
              </w:tabs>
              <w:ind w:firstLine="540"/>
              <w:jc w:val="both"/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</w:pPr>
            <w:r w:rsidRPr="009F56C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Zgodnie bowiem z art. </w:t>
            </w:r>
            <w:r w:rsidRPr="009F56C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78</w:t>
            </w:r>
            <w:r w:rsidRPr="009F56C9"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</w:rPr>
              <w:t xml:space="preserve">1 </w:t>
            </w:r>
            <w:r w:rsidRPr="009F56C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§ 1 ustawy </w:t>
            </w:r>
            <w:r w:rsidRPr="009F56C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 dnia 23 kwietnia 1964 r. Kodeks cywilny</w:t>
            </w:r>
            <w:r w:rsidRPr="009F56C9">
              <w:rPr>
                <w:rStyle w:val="Odwoanieprzypisudolnego"/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footnoteReference w:id="1"/>
            </w: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9F56C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>do zachowania elektronicznej formy czynności prawnej wystarcza złożenie oświadczenia woli w postaci elektronicznej i opatrzenie go kwalifikowanym podpisem elektronicznym</w:t>
            </w:r>
          </w:p>
          <w:p w14:paraId="6FEB3A97" w14:textId="77777777" w:rsidR="003E1012" w:rsidRPr="009F56C9" w:rsidRDefault="003E1012" w:rsidP="009F56C9">
            <w:pPr>
              <w:pStyle w:val="Tekstprzypisudolnego"/>
              <w:ind w:firstLine="540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  <w:r w:rsidRPr="009F56C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Ponadto </w:t>
            </w: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 xml:space="preserve">stosownie do art. 25 ust. 2 rozporządzenia </w:t>
            </w:r>
            <w:proofErr w:type="spellStart"/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eIDAS</w:t>
            </w:r>
            <w:proofErr w:type="spellEnd"/>
            <w:r w:rsidRPr="009F56C9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 xml:space="preserve"> kwalifikowany podpis elektroniczny ma skutek prawny równoważny podpisowi własnoręcznemu. Brzmienie art. </w:t>
            </w:r>
            <w:r w:rsidRPr="009F56C9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78</w:t>
            </w:r>
            <w:r w:rsidRPr="009F56C9">
              <w:rPr>
                <w:rFonts w:asciiTheme="minorHAnsi" w:hAnsiTheme="minorHAnsi" w:cstheme="minorHAnsi"/>
                <w:bCs/>
                <w:iCs/>
                <w:sz w:val="22"/>
                <w:szCs w:val="22"/>
                <w:vertAlign w:val="superscript"/>
              </w:rPr>
              <w:t xml:space="preserve">1 </w:t>
            </w:r>
            <w:r w:rsidRPr="009F56C9">
              <w:rPr>
                <w:rFonts w:asciiTheme="minorHAnsi" w:hAnsiTheme="minorHAnsi" w:cstheme="minorHAnsi"/>
                <w:sz w:val="22"/>
                <w:szCs w:val="22"/>
                <w:shd w:val="clear" w:color="auto" w:fill="FFFFFF"/>
              </w:rPr>
              <w:t xml:space="preserve">§ 1 </w:t>
            </w: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k.c. jest zbieżne z regulacją art. 25 ust. 2</w:t>
            </w:r>
            <w:r w:rsidRPr="009F56C9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F56C9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rozporządzenia </w:t>
            </w:r>
            <w:proofErr w:type="spellStart"/>
            <w:r w:rsidRPr="009F56C9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eIDAS</w:t>
            </w:r>
            <w:proofErr w:type="spellEnd"/>
            <w:r w:rsidRPr="009F56C9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, który wprowadza zasadę równoważności kwalifikowanego podpisu elektronicznego oraz podpisu własnoręcznego</w:t>
            </w:r>
            <w:r w:rsidRPr="009F56C9">
              <w:rPr>
                <w:rStyle w:val="Odwoanieprzypisudolnego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3"/>
            </w:r>
            <w:r w:rsidRPr="009F56C9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. Zgodnie z art. 2 ust. 3 rozporządzenia </w:t>
            </w:r>
            <w:proofErr w:type="spellStart"/>
            <w:r w:rsidRPr="009F56C9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eIDAS</w:t>
            </w:r>
            <w:proofErr w:type="spellEnd"/>
            <w:r w:rsidRPr="009F56C9">
              <w:rPr>
                <w:rStyle w:val="Pogrubienie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 rozporządzenie nie ma</w:t>
            </w:r>
            <w:r w:rsidRPr="009F56C9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F56C9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 xml:space="preserve">wpływu na prawo krajowe ani unijne związane z zawieraniem i ważnością umów lub innych zobowiązań prawnych lub proceduralnych, dotyczące ich formy. Natomiast w myśl motywu 49 do rozporządzenia </w:t>
            </w:r>
            <w:proofErr w:type="spellStart"/>
            <w:r w:rsidRPr="009F56C9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eIDAS</w:t>
            </w:r>
            <w:proofErr w:type="spellEnd"/>
            <w:r w:rsidRPr="009F56C9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 xml:space="preserve"> podpis kwalifikowany powinien mieć skutek prawny równoważny podpisowi własnoręcznemu, a skutki prawne pozostałych podpisów elektronicznych poza podpisem kwalifikowanym powinny być uregulowane w prawie krajowym</w:t>
            </w:r>
            <w:r w:rsidRPr="009F56C9">
              <w:rPr>
                <w:rStyle w:val="Odwoanieprzypisudolnego"/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footnoteReference w:id="4"/>
            </w:r>
            <w:r w:rsidRPr="009F56C9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 xml:space="preserve">. Art. 25 ust. 2 rozporządzenia </w:t>
            </w:r>
            <w:proofErr w:type="spellStart"/>
            <w:r w:rsidRPr="009F56C9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eIDAS</w:t>
            </w:r>
            <w:proofErr w:type="spellEnd"/>
            <w:r w:rsidRPr="009F56C9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 xml:space="preserve"> wprowadza zatem minimalną regułę interpretacyjną, ustanawiając możliwość rozszerzenia skutków innego rodzaju podpisów elektronicznych jako równoważnych podpisowi własnoręcznemu. </w:t>
            </w:r>
          </w:p>
          <w:p w14:paraId="5A25DBD6" w14:textId="77777777" w:rsidR="009F56C9" w:rsidRDefault="009F56C9" w:rsidP="009F56C9">
            <w:pPr>
              <w:pStyle w:val="Tekstprzypisudolneg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</w:pPr>
          </w:p>
          <w:p w14:paraId="7DDB7BE8" w14:textId="2E7CCC37" w:rsidR="003E1012" w:rsidRPr="009F56C9" w:rsidRDefault="003E1012" w:rsidP="009F56C9">
            <w:pPr>
              <w:pStyle w:val="Tekstprzypisudolneg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 xml:space="preserve">Dodatkowo należy zauważyć, że w omawianej jednostce redakcyjnej, kwalifikowany podpis </w:t>
            </w:r>
            <w:r w:rsidRPr="009F56C9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lastRenderedPageBreak/>
              <w:t xml:space="preserve">elektroniczny został nieprawidłowo określony jako </w:t>
            </w:r>
            <w:r w:rsidRPr="009F56C9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shd w:val="clear" w:color="auto" w:fill="FFFFFF"/>
              </w:rPr>
              <w:t>podpis kwalifikowany podpis elektroniczny</w:t>
            </w:r>
            <w:r w:rsidRPr="009F56C9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>.</w:t>
            </w:r>
            <w:r w:rsidR="009F56C9">
              <w:rPr>
                <w:rFonts w:asciiTheme="minorHAnsi" w:hAnsiTheme="minorHAnsi" w:cstheme="minorHAnsi"/>
                <w:bCs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682D7102" w14:textId="04611539" w:rsidR="003E1012" w:rsidRPr="009F56C9" w:rsidRDefault="003E1012" w:rsidP="009F56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Rozważenie możliwości zmiany projektowanego art. 5 ust. 4 poprzez wykreślenie z jego treści kwalifikowanego podpisu elektronicznego.</w:t>
            </w:r>
          </w:p>
        </w:tc>
        <w:tc>
          <w:tcPr>
            <w:tcW w:w="3769" w:type="dxa"/>
          </w:tcPr>
          <w:p w14:paraId="411347D7" w14:textId="77777777" w:rsidR="004622D1" w:rsidRDefault="00CD55D6" w:rsidP="00BD7D36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6F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</w:p>
          <w:p w14:paraId="32555223" w14:textId="5A8DAD9B" w:rsidR="003E1012" w:rsidRPr="00CD55D6" w:rsidRDefault="004622D1" w:rsidP="006049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Zmieniony </w:t>
            </w:r>
            <w:r w:rsidR="00CD55D6">
              <w:rPr>
                <w:rFonts w:asciiTheme="minorHAnsi" w:hAnsiTheme="minorHAnsi" w:cstheme="minorHAnsi"/>
                <w:sz w:val="22"/>
                <w:szCs w:val="22"/>
              </w:rPr>
              <w:t xml:space="preserve">zostanie </w:t>
            </w:r>
            <w:r w:rsidR="00CD55D6" w:rsidRPr="009F56C9">
              <w:rPr>
                <w:rFonts w:asciiTheme="minorHAnsi" w:hAnsiTheme="minorHAnsi" w:cstheme="minorHAnsi"/>
                <w:sz w:val="22"/>
                <w:szCs w:val="22"/>
              </w:rPr>
              <w:t xml:space="preserve">art. 5 ust. 4 </w:t>
            </w:r>
            <w:r w:rsidR="00EE5C0B"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  <w:r w:rsidR="00CD55D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D55D6" w:rsidRPr="009F56C9">
              <w:rPr>
                <w:rFonts w:asciiTheme="minorHAnsi" w:hAnsiTheme="minorHAnsi" w:cstheme="minorHAnsi"/>
                <w:sz w:val="22"/>
                <w:szCs w:val="22"/>
              </w:rPr>
              <w:t>poprzez wykreślenie z jego treści kwalifikowanego podpisu elektronicznego.</w:t>
            </w:r>
          </w:p>
        </w:tc>
      </w:tr>
      <w:tr w:rsidR="003E1012" w:rsidRPr="009F56C9" w14:paraId="16A457A3" w14:textId="77777777" w:rsidTr="004C7B36">
        <w:tc>
          <w:tcPr>
            <w:tcW w:w="562" w:type="dxa"/>
            <w:shd w:val="clear" w:color="auto" w:fill="auto"/>
          </w:tcPr>
          <w:p w14:paraId="3CA95ED5" w14:textId="7D1DA954" w:rsidR="003E1012" w:rsidRPr="009F56C9" w:rsidRDefault="002B35B0" w:rsidP="009F56C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6</w:t>
            </w:r>
            <w:r w:rsidR="005528D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8A7E0CD" w14:textId="48F9377D" w:rsidR="003E1012" w:rsidRPr="009F56C9" w:rsidRDefault="003E1012" w:rsidP="009F56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b/>
                <w:sz w:val="22"/>
                <w:szCs w:val="22"/>
              </w:rPr>
              <w:t>MS</w:t>
            </w:r>
          </w:p>
        </w:tc>
        <w:tc>
          <w:tcPr>
            <w:tcW w:w="1843" w:type="dxa"/>
            <w:shd w:val="clear" w:color="auto" w:fill="auto"/>
          </w:tcPr>
          <w:p w14:paraId="6B6806FD" w14:textId="4C674B2E" w:rsidR="003E1012" w:rsidRPr="009F56C9" w:rsidRDefault="003E1012" w:rsidP="009F56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art. 1 ust. 3 pkt 1</w:t>
            </w:r>
            <w:r w:rsidR="0005201F">
              <w:rPr>
                <w:rFonts w:asciiTheme="minorHAnsi" w:hAnsiTheme="minorHAnsi" w:cstheme="minorHAnsi"/>
                <w:sz w:val="22"/>
                <w:szCs w:val="22"/>
              </w:rPr>
              <w:t xml:space="preserve"> lit. </w:t>
            </w: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5103" w:type="dxa"/>
            <w:shd w:val="clear" w:color="auto" w:fill="auto"/>
          </w:tcPr>
          <w:p w14:paraId="22184260" w14:textId="77777777" w:rsidR="003E1012" w:rsidRPr="009F56C9" w:rsidRDefault="003E1012" w:rsidP="009F56C9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W projektowanym art. 1 ust. 3 pkt 1) a) zamiast słowa „pomiotem” należałoby wpisać słowo „podmiotem”.</w:t>
            </w:r>
          </w:p>
          <w:p w14:paraId="10E1150B" w14:textId="77777777" w:rsidR="003E1012" w:rsidRPr="009F56C9" w:rsidRDefault="003E1012" w:rsidP="009F56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25F107A9" w14:textId="38040C81" w:rsidR="003E1012" w:rsidRPr="009F56C9" w:rsidRDefault="003E1012" w:rsidP="009F56C9">
            <w:pPr>
              <w:tabs>
                <w:tab w:val="left" w:pos="540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W projektowanym art. 1 ust. 3 pkt 1</w:t>
            </w:r>
            <w:r w:rsidR="0005201F">
              <w:rPr>
                <w:rFonts w:asciiTheme="minorHAnsi" w:hAnsiTheme="minorHAnsi" w:cstheme="minorHAnsi"/>
                <w:sz w:val="22"/>
                <w:szCs w:val="22"/>
              </w:rPr>
              <w:t xml:space="preserve"> lit. </w:t>
            </w:r>
            <w:r w:rsidRPr="009F56C9">
              <w:rPr>
                <w:rFonts w:asciiTheme="minorHAnsi" w:hAnsiTheme="minorHAnsi" w:cstheme="minorHAnsi"/>
                <w:sz w:val="22"/>
                <w:szCs w:val="22"/>
              </w:rPr>
              <w:t>a zamiast słowa „pomiotem” należałoby wpisać słowo „podmiotem”.</w:t>
            </w:r>
          </w:p>
        </w:tc>
        <w:tc>
          <w:tcPr>
            <w:tcW w:w="3769" w:type="dxa"/>
          </w:tcPr>
          <w:p w14:paraId="78D829BD" w14:textId="77777777" w:rsidR="004622D1" w:rsidRDefault="00CD55D6" w:rsidP="00D053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C6F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uwzględniona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</w:p>
          <w:p w14:paraId="2ABFAEDF" w14:textId="19AAFEFE" w:rsidR="003E1012" w:rsidRPr="009F56C9" w:rsidRDefault="00EE5C0B" w:rsidP="00D053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Skorygowany </w:t>
            </w:r>
            <w:r w:rsidR="00CD55D6">
              <w:rPr>
                <w:rFonts w:asciiTheme="minorHAnsi" w:hAnsiTheme="minorHAnsi" w:cstheme="minorHAnsi"/>
                <w:sz w:val="22"/>
                <w:szCs w:val="22"/>
              </w:rPr>
              <w:t xml:space="preserve">zostanie </w:t>
            </w:r>
            <w:r w:rsidR="00CD55D6" w:rsidRPr="009F56C9">
              <w:rPr>
                <w:rFonts w:asciiTheme="minorHAnsi" w:hAnsiTheme="minorHAnsi" w:cstheme="minorHAnsi"/>
                <w:sz w:val="22"/>
                <w:szCs w:val="22"/>
              </w:rPr>
              <w:t>art. 1 ust. 3 pkt 1</w:t>
            </w:r>
            <w:r w:rsidR="00CD55D6">
              <w:rPr>
                <w:rFonts w:asciiTheme="minorHAnsi" w:hAnsiTheme="minorHAnsi" w:cstheme="minorHAnsi"/>
                <w:sz w:val="22"/>
                <w:szCs w:val="22"/>
              </w:rPr>
              <w:t xml:space="preserve"> lit. </w:t>
            </w:r>
            <w:r w:rsidR="00CD55D6" w:rsidRPr="009F56C9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="00CD55D6"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  <w:r w:rsidR="004622D1">
              <w:rPr>
                <w:rFonts w:asciiTheme="minorHAnsi" w:hAnsiTheme="minorHAnsi" w:cstheme="minorHAnsi"/>
                <w:sz w:val="22"/>
                <w:szCs w:val="22"/>
              </w:rPr>
              <w:t xml:space="preserve"> zgodnie ze zgłoszoną uwagą </w:t>
            </w:r>
          </w:p>
        </w:tc>
      </w:tr>
      <w:tr w:rsidR="003E1012" w:rsidRPr="009F56C9" w14:paraId="7BA6197C" w14:textId="77777777" w:rsidTr="004C7B36">
        <w:tc>
          <w:tcPr>
            <w:tcW w:w="562" w:type="dxa"/>
            <w:shd w:val="clear" w:color="auto" w:fill="auto"/>
          </w:tcPr>
          <w:p w14:paraId="1EC71BB7" w14:textId="75F5E563" w:rsidR="003E1012" w:rsidRPr="009F56C9" w:rsidRDefault="002B35B0" w:rsidP="009F56C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  <w:r w:rsidR="005528D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577EF4B9" w14:textId="2E6FBAF4" w:rsidR="003E1012" w:rsidRPr="009F56C9" w:rsidRDefault="0005201F" w:rsidP="009F56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3C7F54B8" w14:textId="219D9467" w:rsidR="003E1012" w:rsidRPr="009F56C9" w:rsidRDefault="0005201F" w:rsidP="009F56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5201F">
              <w:rPr>
                <w:rFonts w:asciiTheme="minorHAnsi" w:hAnsiTheme="minorHAnsi" w:cstheme="minorHAnsi"/>
                <w:sz w:val="22"/>
                <w:szCs w:val="22"/>
              </w:rPr>
              <w:t>art. 4 ust. 1 pkt 6</w:t>
            </w:r>
          </w:p>
        </w:tc>
        <w:tc>
          <w:tcPr>
            <w:tcW w:w="5103" w:type="dxa"/>
            <w:shd w:val="clear" w:color="auto" w:fill="auto"/>
          </w:tcPr>
          <w:p w14:paraId="7BE1E5D1" w14:textId="3A8ECDDC" w:rsidR="003E1012" w:rsidRPr="009F56C9" w:rsidRDefault="0005201F" w:rsidP="0005201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5201F">
              <w:rPr>
                <w:rFonts w:asciiTheme="minorHAnsi" w:hAnsiTheme="minorHAnsi" w:cstheme="minorHAnsi"/>
                <w:sz w:val="22"/>
                <w:szCs w:val="22"/>
              </w:rPr>
              <w:t>W zakresie uwagi dotyczącej brzmienia art. 4 ust. 1 pkt 6 projektu, w którym przewiduje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201F">
              <w:rPr>
                <w:rFonts w:asciiTheme="minorHAnsi" w:hAnsiTheme="minorHAnsi" w:cstheme="minorHAnsi"/>
                <w:sz w:val="22"/>
                <w:szCs w:val="22"/>
              </w:rPr>
              <w:t>się funkcjonalność Systemu w postaci wydania świadectwa pracy, uzasadniania 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201F">
              <w:rPr>
                <w:rFonts w:asciiTheme="minorHAnsi" w:hAnsiTheme="minorHAnsi" w:cstheme="minorHAnsi"/>
                <w:sz w:val="22"/>
                <w:szCs w:val="22"/>
              </w:rPr>
              <w:t>uzupełniono o wyjaśnienie sposobu realizacji, w stosunku do umów obsługiwanych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201F">
              <w:rPr>
                <w:rFonts w:asciiTheme="minorHAnsi" w:hAnsiTheme="minorHAnsi" w:cstheme="minorHAnsi"/>
                <w:sz w:val="22"/>
                <w:szCs w:val="22"/>
              </w:rPr>
              <w:t>w Systemie, obowiązku pracodawcy określonego w art. 94</w:t>
            </w:r>
            <w:r w:rsidRPr="0005201F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12</w:t>
            </w:r>
            <w:r w:rsidRPr="0005201F">
              <w:rPr>
                <w:rFonts w:asciiTheme="minorHAnsi" w:hAnsiTheme="minorHAnsi" w:cstheme="minorHAnsi"/>
                <w:sz w:val="22"/>
                <w:szCs w:val="22"/>
              </w:rPr>
              <w:t xml:space="preserve"> Kodeksu pracy dotyczącego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201F">
              <w:rPr>
                <w:rFonts w:asciiTheme="minorHAnsi" w:hAnsiTheme="minorHAnsi" w:cstheme="minorHAnsi"/>
                <w:sz w:val="22"/>
                <w:szCs w:val="22"/>
              </w:rPr>
              <w:t>wydawania pracownikowi kopii części lub całości dokumentacji pracowniczej, w tym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201F">
              <w:rPr>
                <w:rFonts w:asciiTheme="minorHAnsi" w:hAnsiTheme="minorHAnsi" w:cstheme="minorHAnsi"/>
                <w:sz w:val="22"/>
                <w:szCs w:val="22"/>
              </w:rPr>
              <w:t>kopii (duplikatu) świadectwa pracy. Wydaje się, że wydanie kopii świadectwa pracy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201F">
              <w:rPr>
                <w:rFonts w:asciiTheme="minorHAnsi" w:hAnsiTheme="minorHAnsi" w:cstheme="minorHAnsi"/>
                <w:sz w:val="22"/>
                <w:szCs w:val="22"/>
              </w:rPr>
              <w:t>(która nie jest dokumentem tożsamym z pierwotnie wydanym świadectwem pracy) 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201F">
              <w:rPr>
                <w:rFonts w:asciiTheme="minorHAnsi" w:hAnsiTheme="minorHAnsi" w:cstheme="minorHAnsi"/>
                <w:sz w:val="22"/>
                <w:szCs w:val="22"/>
              </w:rPr>
              <w:t>jest równoznaczne z funkcjonalnością polegającą na zapewnieniu przez System dostępu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201F">
              <w:rPr>
                <w:rFonts w:asciiTheme="minorHAnsi" w:hAnsiTheme="minorHAnsi" w:cstheme="minorHAnsi"/>
                <w:sz w:val="22"/>
                <w:szCs w:val="22"/>
              </w:rPr>
              <w:t>do dokumentacji pracowniczej, o którym stanowi art. 4 ust. 1 pkt 7 projektu. W związku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201F">
              <w:rPr>
                <w:rFonts w:asciiTheme="minorHAnsi" w:hAnsiTheme="minorHAnsi" w:cstheme="minorHAnsi"/>
                <w:sz w:val="22"/>
                <w:szCs w:val="22"/>
              </w:rPr>
              <w:t>z tym sposób realizacji przez pracodawcę obowiązku określonego w 94</w:t>
            </w:r>
            <w:r w:rsidRPr="0005201F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12</w:t>
            </w:r>
            <w:r w:rsidRPr="0005201F">
              <w:rPr>
                <w:rFonts w:asciiTheme="minorHAnsi" w:hAnsiTheme="minorHAnsi" w:cstheme="minorHAnsi"/>
                <w:sz w:val="22"/>
                <w:szCs w:val="22"/>
              </w:rPr>
              <w:t xml:space="preserve"> Kodeksu pracy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5201F">
              <w:rPr>
                <w:rFonts w:asciiTheme="minorHAnsi" w:hAnsiTheme="minorHAnsi" w:cstheme="minorHAnsi"/>
                <w:sz w:val="22"/>
                <w:szCs w:val="22"/>
              </w:rPr>
              <w:t>wymaga ponownej analizy i wyjaśnienia.</w:t>
            </w:r>
          </w:p>
        </w:tc>
        <w:tc>
          <w:tcPr>
            <w:tcW w:w="2977" w:type="dxa"/>
            <w:shd w:val="clear" w:color="auto" w:fill="auto"/>
          </w:tcPr>
          <w:p w14:paraId="243A6E00" w14:textId="77777777" w:rsidR="003E1012" w:rsidRPr="009F56C9" w:rsidRDefault="003E1012" w:rsidP="009F56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33D4C181" w14:textId="1092F7B1" w:rsidR="00194232" w:rsidRPr="00194232" w:rsidRDefault="00194232" w:rsidP="0013384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4232">
              <w:rPr>
                <w:rFonts w:asciiTheme="minorHAnsi" w:hAnsiTheme="minorHAnsi" w:cstheme="minorHAnsi"/>
                <w:b/>
                <w:sz w:val="22"/>
                <w:szCs w:val="22"/>
              </w:rPr>
              <w:t>Odniesienie się do uwagi:</w:t>
            </w:r>
          </w:p>
          <w:p w14:paraId="2F435A84" w14:textId="306ECFE9" w:rsidR="003D0160" w:rsidRDefault="00194232" w:rsidP="0019423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Zakłada się, że p</w:t>
            </w:r>
            <w:r w:rsidR="00133844">
              <w:rPr>
                <w:rFonts w:asciiTheme="minorHAnsi" w:hAnsiTheme="minorHAnsi" w:cstheme="minorHAnsi"/>
                <w:sz w:val="22"/>
                <w:szCs w:val="22"/>
              </w:rPr>
              <w:t>racownik zostanie poinformowany, że wystawione zostało dla niego świadectwo pracy. Po zalogowaniu do Systemu</w:t>
            </w:r>
            <w:r w:rsidR="006677B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133844">
              <w:rPr>
                <w:rFonts w:asciiTheme="minorHAnsi" w:hAnsiTheme="minorHAnsi" w:cstheme="minorHAnsi"/>
                <w:sz w:val="22"/>
                <w:szCs w:val="22"/>
              </w:rPr>
              <w:t xml:space="preserve"> będzie on mógł je pobrać. </w:t>
            </w:r>
          </w:p>
          <w:p w14:paraId="1276A332" w14:textId="2EC01476" w:rsidR="00194232" w:rsidRDefault="00133844" w:rsidP="0019423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przypadku umów opatrywanych podpisem zaufanym, ze względu na jego charakter, oryginał świadectwa będzie w Systemie, a pobrany przez pracownika dokument będzie stanowił jego kopię</w:t>
            </w:r>
            <w:r w:rsidR="003D0160">
              <w:rPr>
                <w:rFonts w:asciiTheme="minorHAnsi" w:hAnsiTheme="minorHAnsi" w:cstheme="minorHAnsi"/>
                <w:sz w:val="22"/>
                <w:szCs w:val="22"/>
              </w:rPr>
              <w:t xml:space="preserve"> (na podobnej zasadzie jak klient bankowości elektronicznej drukuje lub pobiera potwierdzenie przelewu)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1A720DD" w14:textId="3C05FA76" w:rsidR="003D0160" w:rsidRDefault="003D0160" w:rsidP="0019423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FB8DB2" w14:textId="77777777" w:rsidR="00194232" w:rsidRDefault="00194232" w:rsidP="0019423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9ABF34" w14:textId="6233B5B6" w:rsidR="003E1012" w:rsidRPr="00133844" w:rsidRDefault="003E1012" w:rsidP="0019423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E1012" w:rsidRPr="009F56C9" w14:paraId="35D4F4EE" w14:textId="77777777" w:rsidTr="004C7B36">
        <w:tc>
          <w:tcPr>
            <w:tcW w:w="562" w:type="dxa"/>
            <w:shd w:val="clear" w:color="auto" w:fill="auto"/>
          </w:tcPr>
          <w:p w14:paraId="7091ECB5" w14:textId="756DFA20" w:rsidR="003E1012" w:rsidRPr="009F56C9" w:rsidRDefault="002B35B0" w:rsidP="009F56C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  <w:r w:rsidR="005528D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2932C973" w14:textId="53EFD889" w:rsidR="003E1012" w:rsidRPr="009F56C9" w:rsidRDefault="00CC499D" w:rsidP="009F56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1C67179F" w14:textId="6ED6B5C1" w:rsidR="003E1012" w:rsidRPr="009F56C9" w:rsidRDefault="00CC499D" w:rsidP="00CC499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rak określenia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zasad ponoszenia odpowiedzialności majątkowej za szkodę wyrządzoną przez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nieprawidłowe działanie Systemu</w:t>
            </w:r>
          </w:p>
        </w:tc>
        <w:tc>
          <w:tcPr>
            <w:tcW w:w="5103" w:type="dxa"/>
            <w:shd w:val="clear" w:color="auto" w:fill="auto"/>
          </w:tcPr>
          <w:p w14:paraId="3F8531BF" w14:textId="77777777" w:rsidR="003C11C1" w:rsidRDefault="00CC499D" w:rsidP="00CC499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W odniesieniu do nieuwzględnionej i niewyjaśnionej uwagi dotyczącej braku określenia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zasad ponoszenia odpowiedzialności majątkowej za szkodę wyrządzoną przez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nieprawidłowe działanie Systemu (lp. 47 tabeli uwag z uzgodnień międzyresortowych)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nadal wątpliwości budzi, czy na podstawie przepisów projektowanej ustawy jest możliwe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jednoznaczne wskazanie organu odpowiedzialnego za powstałe w ten sposób szkody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Zauważyć należy, że zakładane funkcjonalności Systemu obejmują nie tylko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przechowywanie dokumentacji pracowniczej i dokumentacji umowy, dostęp do tej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dokumentacji oraz wydanie świadectwa pracy (art. 4 ust. 1 pkt 5–7 projektu), ale również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 xml:space="preserve">dokonywanie za pośrednictwem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Systemu czynności wywołujących skutki prawne 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w tym zawarcie, zmianę i rozwiązanie umowy, czy obliczenie wymiaru przysługującego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pracownikowi urlopu (art. 4 ust. 1 pkt 1–4 projektu). W przepisach projektowanej ustawy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wskazuje się jedynie (w art. 2 ust. 1), że minister właściwy do spraw pracy prowadzi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i udostępnia System, natomiast ww. funkcjonalności zapewnia już sam System (art. 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ust. 1 wprowadzenie do wyliczenia). Wydaje się, że powyższe, ogólnikowe unormowanie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nie jest tożsame ze wskazaniem ministra właściwego do spraw pracy jako organu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odpowiedzialnego za organizowanie i zapewnienie prawidłowego działania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funkcjonalności Systemu, co może wiązać się z ryzykiem utrudnionego dochodzenia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rekompensaty szkód wynikłych w związku z nieprawidłowym działaniem Systemu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(np. na skutek czasowego zawieszenia działania Systemu, jego poszczególnych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 xml:space="preserve">funkcjonalności czy ataku </w:t>
            </w:r>
            <w:proofErr w:type="spellStart"/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hakerskiego</w:t>
            </w:r>
            <w:proofErr w:type="spellEnd"/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). Szkody takie mogą powstać chociażby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w przypadku niedotrzymania terminów zapłaty składek na ubezpieczenie za pracownika,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zapłaty tych składek w nieprawidłowej wysokości, niewłaściwego rozliczenia zaliczki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podatek dochodowy od osób fizycznych i tym podobnych czynności, które są związane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z obowiązkami realizowanymi przez pracodawcę, zleceniodawcę oraz rodziców (strony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danej umowy) na podstawie przepisów odrębnych. Wydaje się, że przepisy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projektowanej ustawy w przypadku wystąpienia wyżej wymienionych okoliczności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zakładają ponoszenie pełnej odpowiedzialności przez podmiot, który nie zrealizował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 xml:space="preserve">określonego w przepisach odrębnych obowiązku. </w:t>
            </w:r>
          </w:p>
          <w:p w14:paraId="66D3FA1C" w14:textId="77777777" w:rsidR="003C11C1" w:rsidRDefault="003C11C1" w:rsidP="00CC499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01F63E" w14:textId="73D25356" w:rsidR="003E1012" w:rsidRPr="009F56C9" w:rsidRDefault="00CC499D" w:rsidP="00CC499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Nie jest również jasne (na podstawie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projektowanych przepisów i wyjaśnień zawartych w uzasadnieniu), jakie będą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ewentualne skutki prawne uzyskania nieupoważnionego dostępu do danych zawartych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 xml:space="preserve">w Systemie oraz zmiany tych danych, a także skutki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zawarcia za pośrednictwem Systemu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umowy niezgodnej z wymogami obowiązującego prawa (np. w przypadku zawarcia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umowy o pracę z cudzoziemcem z naruszeniem ustawowych wymogów). Wydaje się, że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System nie będzie pozwalał na weryfikację takiego zdarzenia. Nie wiadomo również, czy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możliwe będzie unieważnianie takich umów w Systemie. W powyższym kontekście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proponuje się ponowną analizę założeń prawnych Systemu i odpowiadających tym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założeniom regulacji projektowanej ustawy oraz zawarcie stosownego wyjaśnienia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C499D">
              <w:rPr>
                <w:rFonts w:asciiTheme="minorHAnsi" w:hAnsiTheme="minorHAnsi" w:cstheme="minorHAnsi"/>
                <w:sz w:val="22"/>
                <w:szCs w:val="22"/>
              </w:rPr>
              <w:t>w uzasadnieniu projektu.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14:paraId="78508D4D" w14:textId="77777777" w:rsidR="003E1012" w:rsidRPr="009F56C9" w:rsidRDefault="003E1012" w:rsidP="009F56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462CCEFC" w14:textId="77777777" w:rsidR="00194232" w:rsidRPr="00194232" w:rsidRDefault="00194232" w:rsidP="008D6388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4232">
              <w:rPr>
                <w:rFonts w:asciiTheme="minorHAnsi" w:hAnsiTheme="minorHAnsi" w:cstheme="minorHAnsi"/>
                <w:b/>
                <w:sz w:val="22"/>
                <w:szCs w:val="22"/>
              </w:rPr>
              <w:t>Odniesienie się do uwagi:</w:t>
            </w:r>
          </w:p>
          <w:p w14:paraId="0A8C18E1" w14:textId="704959F8" w:rsidR="00194232" w:rsidRDefault="00633043" w:rsidP="008D638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Zgodnie z art. 4 ust. 2 projektu ustawy – System będzie jedynie wspomagał pracodawcę, zleceniodawcę albo rodzica w obliczaniu należności podatkowych. </w:t>
            </w:r>
            <w:r w:rsidR="003C11C1">
              <w:rPr>
                <w:rFonts w:asciiTheme="minorHAnsi" w:hAnsiTheme="minorHAnsi" w:cstheme="minorHAnsi"/>
                <w:sz w:val="22"/>
                <w:szCs w:val="22"/>
              </w:rPr>
              <w:t>To strony umowy będą wprowadzały dane do systemu</w:t>
            </w:r>
            <w:r w:rsidR="006677B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C11C1">
              <w:rPr>
                <w:rFonts w:asciiTheme="minorHAnsi" w:hAnsiTheme="minorHAnsi" w:cstheme="minorHAnsi"/>
                <w:sz w:val="22"/>
                <w:szCs w:val="22"/>
              </w:rPr>
              <w:t xml:space="preserve"> na podstawie których system </w:t>
            </w:r>
            <w:r w:rsidR="00C7238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677B2">
              <w:rPr>
                <w:rFonts w:asciiTheme="minorHAnsi" w:hAnsiTheme="minorHAnsi" w:cstheme="minorHAnsi"/>
                <w:sz w:val="22"/>
                <w:szCs w:val="22"/>
              </w:rPr>
              <w:t>wyliczy</w:t>
            </w:r>
            <w:r w:rsidR="003C11C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677B2">
              <w:rPr>
                <w:rFonts w:asciiTheme="minorHAnsi" w:hAnsiTheme="minorHAnsi" w:cstheme="minorHAnsi"/>
                <w:sz w:val="22"/>
                <w:szCs w:val="22"/>
              </w:rPr>
              <w:t xml:space="preserve">i przedstawi do akceptacji </w:t>
            </w:r>
            <w:r w:rsidR="003C11C1">
              <w:rPr>
                <w:rFonts w:asciiTheme="minorHAnsi" w:hAnsiTheme="minorHAnsi" w:cstheme="minorHAnsi"/>
                <w:sz w:val="22"/>
                <w:szCs w:val="22"/>
              </w:rPr>
              <w:t>należności podatkow</w:t>
            </w:r>
            <w:r w:rsidR="006677B2">
              <w:rPr>
                <w:rFonts w:asciiTheme="minorHAnsi" w:hAnsiTheme="minorHAnsi" w:cstheme="minorHAnsi"/>
                <w:sz w:val="22"/>
                <w:szCs w:val="22"/>
              </w:rPr>
              <w:t>e.</w:t>
            </w:r>
            <w:r w:rsidR="003C11C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Wykonując czynności za pomocą Systemu podmioty korzystające z niego będą akceptowały czynności dokonywane w Systemie. </w:t>
            </w:r>
          </w:p>
          <w:p w14:paraId="437AEA4E" w14:textId="7EF7C29F" w:rsidR="00967778" w:rsidRDefault="00194232" w:rsidP="008D638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Za </w:t>
            </w:r>
            <w:r w:rsidR="00633043">
              <w:rPr>
                <w:rFonts w:asciiTheme="minorHAnsi" w:hAnsiTheme="minorHAnsi" w:cstheme="minorHAnsi"/>
                <w:sz w:val="22"/>
                <w:szCs w:val="22"/>
              </w:rPr>
              <w:t xml:space="preserve">prawidłowość danych np. podatkowych zaproponowanych przez System będzie odpowiadał podmiot korzystający z Systemu. </w:t>
            </w:r>
            <w:r w:rsidR="00967778">
              <w:rPr>
                <w:rFonts w:asciiTheme="minorHAnsi" w:hAnsiTheme="minorHAnsi" w:cstheme="minorHAnsi"/>
                <w:sz w:val="22"/>
                <w:szCs w:val="22"/>
              </w:rPr>
              <w:t>Tak jak w przypadku systemów księgowo – płacowych, wykorzystywanych na rynku, to księgowy poprzez autoryzacj</w:t>
            </w:r>
            <w:r w:rsidR="0071769A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="00967778">
              <w:rPr>
                <w:rFonts w:asciiTheme="minorHAnsi" w:hAnsiTheme="minorHAnsi" w:cstheme="minorHAnsi"/>
                <w:sz w:val="22"/>
                <w:szCs w:val="22"/>
              </w:rPr>
              <w:t xml:space="preserve"> płatności w systemie ponosi odpowiedzialność za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 prawidłowość, a nie system, z</w:t>
            </w:r>
            <w:r w:rsidR="00967778">
              <w:rPr>
                <w:rFonts w:asciiTheme="minorHAnsi" w:hAnsiTheme="minorHAnsi" w:cstheme="minorHAnsi"/>
                <w:sz w:val="22"/>
                <w:szCs w:val="22"/>
              </w:rPr>
              <w:t xml:space="preserve"> którego korzysta księgowy. </w:t>
            </w:r>
          </w:p>
          <w:p w14:paraId="5A314A93" w14:textId="25DC3827" w:rsidR="008D6388" w:rsidRDefault="00194232" w:rsidP="008D638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967778">
              <w:rPr>
                <w:rFonts w:asciiTheme="minorHAnsi" w:hAnsiTheme="minorHAnsi" w:cstheme="minorHAnsi"/>
                <w:sz w:val="22"/>
                <w:szCs w:val="22"/>
              </w:rPr>
              <w:t>rojektowan</w:t>
            </w:r>
            <w:r w:rsidR="006677B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967778">
              <w:rPr>
                <w:rFonts w:asciiTheme="minorHAnsi" w:hAnsiTheme="minorHAnsi" w:cstheme="minorHAnsi"/>
                <w:sz w:val="22"/>
                <w:szCs w:val="22"/>
              </w:rPr>
              <w:t xml:space="preserve"> System będzie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jedynie narzędziem pomocniczym</w:t>
            </w:r>
            <w:r w:rsidR="006677B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ułatwiającym dokonywanie </w:t>
            </w:r>
            <w:r w:rsidR="008D6388">
              <w:rPr>
                <w:rFonts w:asciiTheme="minorHAnsi" w:hAnsiTheme="minorHAnsi" w:cstheme="minorHAnsi"/>
                <w:sz w:val="22"/>
                <w:szCs w:val="22"/>
              </w:rPr>
              <w:t xml:space="preserve"> określonych czynności. </w:t>
            </w:r>
            <w:r w:rsidR="007608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20BCC32" w14:textId="30F5EBF3" w:rsidR="007608EB" w:rsidRDefault="007608EB" w:rsidP="008D638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Jeżeli pracodawca nie zapłaci podatku lub składek na ubezpieczenie</w:t>
            </w:r>
            <w:r w:rsidR="006677B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to będzie podlegał takiej samej odpowiedzialności jak każdy pracodawca, który nie wywiąże się ze swoich obowiązków. Są już ustawy systemowe w tym zakresie. Te przepisy będę po prostu stosowane tak jak do każdego innego przedsiębiorcy. </w:t>
            </w:r>
          </w:p>
          <w:p w14:paraId="0AD48066" w14:textId="77777777" w:rsidR="00967778" w:rsidRDefault="00967778" w:rsidP="008D638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D5B20D" w14:textId="3955ECEB" w:rsidR="00194232" w:rsidRDefault="00633043" w:rsidP="0019423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 obecnym etapie </w:t>
            </w:r>
            <w:r w:rsidR="006677B2">
              <w:rPr>
                <w:rFonts w:asciiTheme="minorHAnsi" w:hAnsiTheme="minorHAnsi" w:cstheme="minorHAnsi"/>
                <w:sz w:val="22"/>
                <w:szCs w:val="22"/>
              </w:rPr>
              <w:t xml:space="preserve">nie </w:t>
            </w:r>
            <w:r w:rsidR="00194232">
              <w:rPr>
                <w:rFonts w:asciiTheme="minorHAnsi" w:hAnsiTheme="minorHAnsi" w:cstheme="minorHAnsi"/>
                <w:sz w:val="22"/>
                <w:szCs w:val="22"/>
              </w:rPr>
              <w:t xml:space="preserve">przewiduje się możliwości dokonywania płatności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 pośr</w:t>
            </w:r>
            <w:r w:rsidR="00194232">
              <w:rPr>
                <w:rFonts w:asciiTheme="minorHAnsi" w:hAnsiTheme="minorHAnsi" w:cstheme="minorHAnsi"/>
                <w:sz w:val="22"/>
                <w:szCs w:val="22"/>
              </w:rPr>
              <w:t>ednictwem Systemu.</w:t>
            </w:r>
          </w:p>
          <w:p w14:paraId="7CA41CA5" w14:textId="77777777" w:rsidR="007608EB" w:rsidRDefault="007608EB" w:rsidP="0019423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93288A" w14:textId="1E31EED5" w:rsidR="003C11C1" w:rsidRDefault="003C11C1" w:rsidP="0019423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Skutki będą dokładnie takie same jak w przypadku </w:t>
            </w:r>
            <w:r w:rsidR="00876E67">
              <w:rPr>
                <w:rFonts w:asciiTheme="minorHAnsi" w:hAnsiTheme="minorHAnsi" w:cstheme="minorHAnsi"/>
                <w:sz w:val="22"/>
                <w:szCs w:val="22"/>
              </w:rPr>
              <w:t>prowadzenia dokumentacji w formie papierowej lub elektronicznej w komercyjnym systemie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6EA7300F" w14:textId="7DFDF27D" w:rsidR="00876E67" w:rsidRDefault="00876E67" w:rsidP="0019423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Projektowany system nie zmienia obecnych przepisów w tym zakresie. Projektowana ustawa daje tylko nowe narzędzie. Podmiot korzystający z tego systemu będzie musiał</w:t>
            </w:r>
            <w:r w:rsidR="006677B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tak jak obecnie</w:t>
            </w:r>
            <w:r w:rsidR="006677B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przestrzegać ogólnych przepisów, w szczególności prawa pracy (umowa o pracę) i prawa cywilnego (umowa zlecenie). </w:t>
            </w:r>
          </w:p>
          <w:p w14:paraId="4549A893" w14:textId="1FED7E10" w:rsidR="003C11C1" w:rsidRPr="00633043" w:rsidRDefault="00876E67" w:rsidP="0019423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przypadku np. zawarcia umowy z cudzoziemcem</w:t>
            </w:r>
            <w:r w:rsidR="006677B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system nie będzie weryfikował czy pracodawca zatrudniając cudzoziemca uzyskał odpowiednie zezwolenie. Jest to odrębny obowiązek pracodawcy</w:t>
            </w:r>
            <w:r w:rsidR="006677B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wynikający z innych przepisów prawa. Jeżeli pracodawca zatrudni np. agenta ubezpieczeń, architekta lub radcę prawnego</w:t>
            </w:r>
            <w:r w:rsidR="006677B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to system nie będzie sprawdzał czy dany pracownik jest wpisany do odpowiedniego rejestru i posiada uprawnienia zawodowe. Tworzenie takiej funkcjonalności byłoby niepotrzebnym komplikowaniem systemu, który</w:t>
            </w:r>
            <w:r w:rsidR="006677B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co do zasady</w:t>
            </w:r>
            <w:r w:rsidR="006677B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ma być jak najprostszy. </w:t>
            </w:r>
          </w:p>
        </w:tc>
      </w:tr>
      <w:tr w:rsidR="0005201F" w:rsidRPr="009F56C9" w14:paraId="08FEA356" w14:textId="77777777" w:rsidTr="004C7B36">
        <w:tc>
          <w:tcPr>
            <w:tcW w:w="562" w:type="dxa"/>
            <w:shd w:val="clear" w:color="auto" w:fill="auto"/>
          </w:tcPr>
          <w:p w14:paraId="28D3B919" w14:textId="1721A4E0" w:rsidR="0005201F" w:rsidRPr="009F56C9" w:rsidRDefault="002B35B0" w:rsidP="009F56C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9</w:t>
            </w:r>
            <w:r w:rsidR="005528D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5D70B784" w14:textId="36510C93" w:rsidR="0005201F" w:rsidRPr="009F56C9" w:rsidRDefault="00AA04E2" w:rsidP="009F56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483D2F13" w14:textId="53E6219A" w:rsidR="0005201F" w:rsidRPr="009F56C9" w:rsidRDefault="00D57A0A" w:rsidP="009F56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D57A0A">
              <w:rPr>
                <w:rFonts w:asciiTheme="minorHAnsi" w:hAnsiTheme="minorHAnsi" w:cstheme="minorHAnsi"/>
                <w:sz w:val="22"/>
                <w:szCs w:val="22"/>
              </w:rPr>
              <w:t>apewni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enie</w:t>
            </w:r>
            <w:r w:rsidRPr="00D57A0A">
              <w:rPr>
                <w:rFonts w:asciiTheme="minorHAnsi" w:hAnsiTheme="minorHAnsi" w:cstheme="minorHAnsi"/>
                <w:sz w:val="22"/>
                <w:szCs w:val="22"/>
              </w:rPr>
              <w:t xml:space="preserve"> możliwoś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ci</w:t>
            </w:r>
            <w:r w:rsidRPr="00D57A0A">
              <w:rPr>
                <w:rFonts w:asciiTheme="minorHAnsi" w:hAnsiTheme="minorHAnsi" w:cstheme="minorHAnsi"/>
                <w:sz w:val="22"/>
                <w:szCs w:val="22"/>
              </w:rPr>
              <w:t xml:space="preserve"> uzyskania dostępu do dokumentacji danej umowy, a także korzystania z innych przewidywanych funkcjonalności Systemu przez podmioty trzecie</w:t>
            </w:r>
          </w:p>
        </w:tc>
        <w:tc>
          <w:tcPr>
            <w:tcW w:w="5103" w:type="dxa"/>
            <w:shd w:val="clear" w:color="auto" w:fill="auto"/>
          </w:tcPr>
          <w:p w14:paraId="6E43C9DC" w14:textId="53B37416" w:rsidR="0005201F" w:rsidRPr="009F56C9" w:rsidRDefault="00AA04E2" w:rsidP="00D57A0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A04E2">
              <w:rPr>
                <w:rFonts w:asciiTheme="minorHAnsi" w:hAnsiTheme="minorHAnsi" w:cstheme="minorHAnsi"/>
                <w:sz w:val="22"/>
                <w:szCs w:val="22"/>
              </w:rPr>
              <w:t>Proponuje się zweryfikowanie, czy przepisy projektowanej ustawy zapewniają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A04E2">
              <w:rPr>
                <w:rFonts w:asciiTheme="minorHAnsi" w:hAnsiTheme="minorHAnsi" w:cstheme="minorHAnsi"/>
                <w:sz w:val="22"/>
                <w:szCs w:val="22"/>
              </w:rPr>
              <w:t>możliwość uzyskania dostępu do dokumentacji danej umowy, a także korzystania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A04E2">
              <w:rPr>
                <w:rFonts w:asciiTheme="minorHAnsi" w:hAnsiTheme="minorHAnsi" w:cstheme="minorHAnsi"/>
                <w:sz w:val="22"/>
                <w:szCs w:val="22"/>
              </w:rPr>
              <w:t>z innych przewidywanych funkcjonalności Systemu przez podmioty trzecie – realizujące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A04E2">
              <w:rPr>
                <w:rFonts w:asciiTheme="minorHAnsi" w:hAnsiTheme="minorHAnsi" w:cstheme="minorHAnsi"/>
                <w:sz w:val="22"/>
                <w:szCs w:val="22"/>
              </w:rPr>
              <w:t>np. obsługę finansową, kadrową, prawną pracodawcy, zleceniodawcy lub rodziców.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A04E2">
              <w:rPr>
                <w:rFonts w:asciiTheme="minorHAnsi" w:hAnsiTheme="minorHAnsi" w:cstheme="minorHAnsi"/>
                <w:sz w:val="22"/>
                <w:szCs w:val="22"/>
              </w:rPr>
              <w:t>Jakkolwiek przepisy projektowanej ustawy ani dołączone do niej uzasadnienie 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A04E2">
              <w:rPr>
                <w:rFonts w:asciiTheme="minorHAnsi" w:hAnsiTheme="minorHAnsi" w:cstheme="minorHAnsi"/>
                <w:sz w:val="22"/>
                <w:szCs w:val="22"/>
              </w:rPr>
              <w:t>odnoszą się do powyższej kwestii, wydaje się, że zakładany dostęp do Systemu będą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A04E2">
              <w:rPr>
                <w:rFonts w:asciiTheme="minorHAnsi" w:hAnsiTheme="minorHAnsi" w:cstheme="minorHAnsi"/>
                <w:sz w:val="22"/>
                <w:szCs w:val="22"/>
              </w:rPr>
              <w:t>posiadały jedynie strony danej umowy. W tym zakresie zasadne wydaje się rozważenie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A04E2">
              <w:rPr>
                <w:rFonts w:asciiTheme="minorHAnsi" w:hAnsiTheme="minorHAnsi" w:cstheme="minorHAnsi"/>
                <w:sz w:val="22"/>
                <w:szCs w:val="22"/>
              </w:rPr>
              <w:t>możliwości udzielania stosownego upoważnienia podmiotom obsługującym strony</w:t>
            </w:r>
            <w:r w:rsidR="00D57A0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AA04E2">
              <w:rPr>
                <w:rFonts w:asciiTheme="minorHAnsi" w:hAnsiTheme="minorHAnsi" w:cstheme="minorHAnsi"/>
                <w:sz w:val="22"/>
                <w:szCs w:val="22"/>
              </w:rPr>
              <w:t>umowy. Kwestia ta powinna zostać wyjaśniona w uzasadnieniu projektu.</w:t>
            </w:r>
          </w:p>
        </w:tc>
        <w:tc>
          <w:tcPr>
            <w:tcW w:w="2977" w:type="dxa"/>
            <w:shd w:val="clear" w:color="auto" w:fill="auto"/>
          </w:tcPr>
          <w:p w14:paraId="39A3F495" w14:textId="77777777" w:rsidR="0005201F" w:rsidRPr="009F56C9" w:rsidRDefault="0005201F" w:rsidP="009F56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36E62516" w14:textId="77777777" w:rsidR="00194232" w:rsidRPr="00194232" w:rsidRDefault="00194232" w:rsidP="00D05306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4232">
              <w:rPr>
                <w:rFonts w:asciiTheme="minorHAnsi" w:hAnsiTheme="minorHAnsi" w:cstheme="minorHAnsi"/>
                <w:b/>
                <w:sz w:val="22"/>
                <w:szCs w:val="22"/>
              </w:rPr>
              <w:t>Odniesienie się do uwagi:</w:t>
            </w:r>
          </w:p>
          <w:p w14:paraId="58C4F681" w14:textId="4DD46849" w:rsidR="00194232" w:rsidRDefault="00F861B2" w:rsidP="00D053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Użytkownik l</w:t>
            </w:r>
            <w:r w:rsidRPr="00F861B2">
              <w:rPr>
                <w:rFonts w:asciiTheme="minorHAnsi" w:hAnsiTheme="minorHAnsi" w:cstheme="minorHAnsi"/>
                <w:sz w:val="22"/>
                <w:szCs w:val="22"/>
              </w:rPr>
              <w:t xml:space="preserve">ogując się do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Systemu będzie wskazywał czy działa on w swoim imieniu czy w imieniu instytucji, którą reprezentuje. </w:t>
            </w:r>
            <w:r w:rsidR="004235FA">
              <w:rPr>
                <w:rFonts w:asciiTheme="minorHAnsi" w:hAnsiTheme="minorHAnsi" w:cstheme="minorHAnsi"/>
                <w:sz w:val="22"/>
                <w:szCs w:val="22"/>
              </w:rPr>
              <w:t>W przypadku gdy użytkownik będzie działał jako pełnomocnik</w:t>
            </w:r>
            <w:r w:rsidR="006677B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4235FA">
              <w:rPr>
                <w:rFonts w:asciiTheme="minorHAnsi" w:hAnsiTheme="minorHAnsi" w:cstheme="minorHAnsi"/>
                <w:sz w:val="22"/>
                <w:szCs w:val="22"/>
              </w:rPr>
              <w:t xml:space="preserve"> będzie on zobowiązany do d</w:t>
            </w:r>
            <w:r w:rsidR="003D2BB5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4235FA">
              <w:rPr>
                <w:rFonts w:asciiTheme="minorHAnsi" w:hAnsiTheme="minorHAnsi" w:cstheme="minorHAnsi"/>
                <w:sz w:val="22"/>
                <w:szCs w:val="22"/>
              </w:rPr>
              <w:t xml:space="preserve">łączenia do Systemu pełnomocnictwa. </w:t>
            </w:r>
          </w:p>
          <w:p w14:paraId="20619BCE" w14:textId="25F4E3BB" w:rsidR="00A77C8D" w:rsidRDefault="00A77C8D" w:rsidP="00D053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ma potrzeby regulować w projekcie ustawy kwestii dotyczących pełnomocników</w:t>
            </w:r>
            <w:r w:rsidR="006677B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ponieważ taka instytucja istnieje już w naszym systemie prawnym na podstawie innych przepisów. </w:t>
            </w:r>
          </w:p>
          <w:p w14:paraId="61EAD51D" w14:textId="73F6C1C6" w:rsidR="0005201F" w:rsidRPr="009F56C9" w:rsidRDefault="0005201F" w:rsidP="00D0530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201F" w:rsidRPr="009F56C9" w14:paraId="7E1E595F" w14:textId="77777777" w:rsidTr="004C7B36">
        <w:tc>
          <w:tcPr>
            <w:tcW w:w="562" w:type="dxa"/>
            <w:shd w:val="clear" w:color="auto" w:fill="auto"/>
          </w:tcPr>
          <w:p w14:paraId="2DA4152E" w14:textId="00BED39C" w:rsidR="0005201F" w:rsidRPr="009F56C9" w:rsidRDefault="002B35B0" w:rsidP="009F56C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10</w:t>
            </w:r>
            <w:r w:rsidR="005528D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ACD5DFB" w14:textId="5BCECF92" w:rsidR="0005201F" w:rsidRPr="009F56C9" w:rsidRDefault="002B35B0" w:rsidP="009F56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039B189D" w14:textId="7E4CB296" w:rsidR="0005201F" w:rsidRPr="009F56C9" w:rsidRDefault="002B35B0" w:rsidP="009F56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2B35B0">
              <w:rPr>
                <w:rFonts w:asciiTheme="minorHAnsi" w:hAnsiTheme="minorHAnsi" w:cstheme="minorHAnsi"/>
                <w:sz w:val="22"/>
                <w:szCs w:val="22"/>
              </w:rPr>
              <w:t>pływ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2B35B0">
              <w:rPr>
                <w:rFonts w:asciiTheme="minorHAnsi" w:hAnsiTheme="minorHAnsi" w:cstheme="minorHAnsi"/>
                <w:sz w:val="22"/>
                <w:szCs w:val="22"/>
              </w:rPr>
              <w:t xml:space="preserve"> na funkcjonowanie umów zawartych w Systemie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jaki </w:t>
            </w:r>
            <w:r w:rsidRPr="002B35B0">
              <w:rPr>
                <w:rFonts w:asciiTheme="minorHAnsi" w:hAnsiTheme="minorHAnsi" w:cstheme="minorHAnsi"/>
                <w:sz w:val="22"/>
                <w:szCs w:val="22"/>
              </w:rPr>
              <w:t>będzie miała zmiana statusu podmiotów, o których mowa w art. 1 ust. 3 pkt 1 lit. a projektu w sytuacji, gdy podmioty te utracą ten status w trakcie obowiązywania umowy zarejestrowanej w Systemie</w:t>
            </w:r>
          </w:p>
        </w:tc>
        <w:tc>
          <w:tcPr>
            <w:tcW w:w="5103" w:type="dxa"/>
            <w:shd w:val="clear" w:color="auto" w:fill="auto"/>
          </w:tcPr>
          <w:p w14:paraId="60F6C394" w14:textId="77777777" w:rsidR="002B35B0" w:rsidRDefault="002B35B0" w:rsidP="002B35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2B35B0">
              <w:rPr>
                <w:rFonts w:asciiTheme="minorHAnsi" w:hAnsiTheme="minorHAnsi" w:cstheme="minorHAnsi"/>
                <w:sz w:val="22"/>
                <w:szCs w:val="22"/>
              </w:rPr>
              <w:t>o ponownej analizie zasadnym jest wyjaśnienie, jaki wpływ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35B0">
              <w:rPr>
                <w:rFonts w:asciiTheme="minorHAnsi" w:hAnsiTheme="minorHAnsi" w:cstheme="minorHAnsi"/>
                <w:sz w:val="22"/>
                <w:szCs w:val="22"/>
              </w:rPr>
              <w:t>funkcjonowanie umów zawartych w Systemie będzie miała zmiana statusu podmiotów,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35B0">
              <w:rPr>
                <w:rFonts w:asciiTheme="minorHAnsi" w:hAnsiTheme="minorHAnsi" w:cstheme="minorHAnsi"/>
                <w:sz w:val="22"/>
                <w:szCs w:val="22"/>
              </w:rPr>
              <w:t>o których mowa w art. 1 ust. 3 pkt 1 lit. a projektu w sytuacji, gdy podmioty te utracą ten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35B0">
              <w:rPr>
                <w:rFonts w:asciiTheme="minorHAnsi" w:hAnsiTheme="minorHAnsi" w:cstheme="minorHAnsi"/>
                <w:sz w:val="22"/>
                <w:szCs w:val="22"/>
              </w:rPr>
              <w:t>status w trakcie obowiązywania umowy zarejestrowanej w Systemie, tj. przestaną być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2B35B0">
              <w:rPr>
                <w:rFonts w:asciiTheme="minorHAnsi" w:hAnsiTheme="minorHAnsi" w:cstheme="minorHAnsi"/>
                <w:sz w:val="22"/>
                <w:szCs w:val="22"/>
              </w:rPr>
              <w:t>mikroprzedsiębiorcą</w:t>
            </w:r>
            <w:proofErr w:type="spellEnd"/>
            <w:r w:rsidRPr="002B35B0">
              <w:rPr>
                <w:rFonts w:asciiTheme="minorHAnsi" w:hAnsiTheme="minorHAnsi" w:cstheme="minorHAnsi"/>
                <w:sz w:val="22"/>
                <w:szCs w:val="22"/>
              </w:rPr>
              <w:t xml:space="preserve"> lub zwiększą zatrudnienie do 10 i więcej osób. Przedstawiony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35B0">
              <w:rPr>
                <w:rFonts w:asciiTheme="minorHAnsi" w:hAnsiTheme="minorHAnsi" w:cstheme="minorHAnsi"/>
                <w:sz w:val="22"/>
                <w:szCs w:val="22"/>
              </w:rPr>
              <w:t>zaopiniowania projekt ustawy oraz uzasadnienie nie zawierają w tym zakresie uregulowań.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35B0">
              <w:rPr>
                <w:rFonts w:asciiTheme="minorHAnsi" w:hAnsiTheme="minorHAnsi" w:cstheme="minorHAnsi"/>
                <w:sz w:val="22"/>
                <w:szCs w:val="22"/>
              </w:rPr>
              <w:t>W szczególności nie jest jasne, czy taka sytuacja będzie podstawą do zakończenia umowy czy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35B0">
              <w:rPr>
                <w:rFonts w:asciiTheme="minorHAnsi" w:hAnsiTheme="minorHAnsi" w:cstheme="minorHAnsi"/>
                <w:sz w:val="22"/>
                <w:szCs w:val="22"/>
              </w:rPr>
              <w:t>też umowa będzie dalej zarejestrowana w Systemie i czy po jej rozwiązaniu podmiot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35B0">
              <w:rPr>
                <w:rFonts w:asciiTheme="minorHAnsi" w:hAnsiTheme="minorHAnsi" w:cstheme="minorHAnsi"/>
                <w:sz w:val="22"/>
                <w:szCs w:val="22"/>
              </w:rPr>
              <w:t>niespełniający już wymagań określonych w ustawie będzie mógł wygenerować świadectwo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35B0">
              <w:rPr>
                <w:rFonts w:asciiTheme="minorHAnsi" w:hAnsiTheme="minorHAnsi" w:cstheme="minorHAnsi"/>
                <w:sz w:val="22"/>
                <w:szCs w:val="22"/>
              </w:rPr>
              <w:t xml:space="preserve">pracy. </w:t>
            </w:r>
          </w:p>
          <w:p w14:paraId="768F52A0" w14:textId="77777777" w:rsidR="002B35B0" w:rsidRDefault="002B35B0" w:rsidP="002B35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0BFBE0" w14:textId="5EB97C15" w:rsidR="0005201F" w:rsidRPr="009F56C9" w:rsidRDefault="002B35B0" w:rsidP="002B35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B35B0">
              <w:rPr>
                <w:rFonts w:asciiTheme="minorHAnsi" w:hAnsiTheme="minorHAnsi" w:cstheme="minorHAnsi"/>
                <w:sz w:val="22"/>
                <w:szCs w:val="22"/>
              </w:rPr>
              <w:t>Ponadto nie wiadomo, w jaki sposób mają postępować (w zakresie trwania umowy, jej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35B0">
              <w:rPr>
                <w:rFonts w:asciiTheme="minorHAnsi" w:hAnsiTheme="minorHAnsi" w:cstheme="minorHAnsi"/>
                <w:sz w:val="22"/>
                <w:szCs w:val="22"/>
              </w:rPr>
              <w:t>zmian czy prowadzenia dokumentacji pracowniczej) strony umów zawartych w Systemie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35B0">
              <w:rPr>
                <w:rFonts w:asciiTheme="minorHAnsi" w:hAnsiTheme="minorHAnsi" w:cstheme="minorHAnsi"/>
                <w:sz w:val="22"/>
                <w:szCs w:val="22"/>
              </w:rPr>
              <w:t>(np. na okres próby lub na czas określony), gdy „pracodawca” w trakcie trwania umowy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35B0">
              <w:rPr>
                <w:rFonts w:asciiTheme="minorHAnsi" w:hAnsiTheme="minorHAnsi" w:cstheme="minorHAnsi"/>
                <w:sz w:val="22"/>
                <w:szCs w:val="22"/>
              </w:rPr>
              <w:t>przestał spełniać wymagania? Podobna wątpliwość dotyczy sytuacji, gdy „pracodawca”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35B0">
              <w:rPr>
                <w:rFonts w:asciiTheme="minorHAnsi" w:hAnsiTheme="minorHAnsi" w:cstheme="minorHAnsi"/>
                <w:sz w:val="22"/>
                <w:szCs w:val="22"/>
              </w:rPr>
              <w:t>przestał spełniać wymagania pomiędzy zawarciem np. umowy na czas określony a zawarciem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35B0">
              <w:rPr>
                <w:rFonts w:asciiTheme="minorHAnsi" w:hAnsiTheme="minorHAnsi" w:cstheme="minorHAnsi"/>
                <w:sz w:val="22"/>
                <w:szCs w:val="22"/>
              </w:rPr>
              <w:t>umowy na czas nieokreślony. Kolejna wątpliwość dotyczy ważności samej umowy zawartej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35B0">
              <w:rPr>
                <w:rFonts w:asciiTheme="minorHAnsi" w:hAnsiTheme="minorHAnsi" w:cstheme="minorHAnsi"/>
                <w:sz w:val="22"/>
                <w:szCs w:val="22"/>
              </w:rPr>
              <w:t>poprzez System, jeżeli jedna ze stron (np. „pracodawca”) już w chwili jej zawierania 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B35B0">
              <w:rPr>
                <w:rFonts w:asciiTheme="minorHAnsi" w:hAnsiTheme="minorHAnsi" w:cstheme="minorHAnsi"/>
                <w:sz w:val="22"/>
                <w:szCs w:val="22"/>
              </w:rPr>
              <w:t>spełniała warunków określonych w projektowanej ustawie.</w:t>
            </w:r>
          </w:p>
        </w:tc>
        <w:tc>
          <w:tcPr>
            <w:tcW w:w="2977" w:type="dxa"/>
            <w:shd w:val="clear" w:color="auto" w:fill="auto"/>
          </w:tcPr>
          <w:p w14:paraId="16CAAD19" w14:textId="77777777" w:rsidR="0005201F" w:rsidRPr="009F56C9" w:rsidRDefault="0005201F" w:rsidP="009F56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769" w:type="dxa"/>
          </w:tcPr>
          <w:p w14:paraId="12CE4C70" w14:textId="024E9573" w:rsidR="00194232" w:rsidRPr="00194232" w:rsidRDefault="00194232" w:rsidP="004235FA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942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Odniesienie się do uwagi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  <w:p w14:paraId="0AC98F2E" w14:textId="68B1A71D" w:rsidR="007C6D3E" w:rsidRPr="00194232" w:rsidRDefault="00194232" w:rsidP="005805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9423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Zakłada się, że w przypadku </w:t>
            </w:r>
            <w:r w:rsidR="007C6D3E" w:rsidRPr="00194232">
              <w:rPr>
                <w:rFonts w:asciiTheme="minorHAnsi" w:hAnsiTheme="minorHAnsi" w:cstheme="minorHAnsi"/>
                <w:sz w:val="22"/>
                <w:szCs w:val="22"/>
              </w:rPr>
              <w:t>zmiany statusu podmiotów, o których mowa w art. 1 ust. 3 pkt 1 lit. a</w:t>
            </w:r>
            <w:r w:rsidR="00EE5C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C6D3E" w:rsidRPr="00194232">
              <w:rPr>
                <w:rFonts w:asciiTheme="minorHAnsi" w:hAnsiTheme="minorHAnsi" w:cstheme="minorHAnsi"/>
                <w:sz w:val="22"/>
                <w:szCs w:val="22"/>
              </w:rPr>
              <w:t xml:space="preserve"> projektu </w:t>
            </w:r>
            <w:r w:rsidR="00EE5C0B">
              <w:rPr>
                <w:rFonts w:asciiTheme="minorHAnsi" w:hAnsiTheme="minorHAnsi" w:cstheme="minorHAnsi"/>
                <w:sz w:val="22"/>
                <w:szCs w:val="22"/>
              </w:rPr>
              <w:t>ustawy</w:t>
            </w:r>
            <w:r w:rsidR="006677B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EE5C0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94232">
              <w:rPr>
                <w:rFonts w:asciiTheme="minorHAnsi" w:hAnsiTheme="minorHAnsi" w:cstheme="minorHAnsi"/>
                <w:sz w:val="22"/>
                <w:szCs w:val="22"/>
              </w:rPr>
              <w:t xml:space="preserve">podmioty te będą miały </w:t>
            </w:r>
            <w:r w:rsidR="007C6D3E" w:rsidRPr="00194232">
              <w:rPr>
                <w:rFonts w:asciiTheme="minorHAnsi" w:hAnsiTheme="minorHAnsi" w:cstheme="minorHAnsi"/>
                <w:sz w:val="22"/>
                <w:szCs w:val="22"/>
              </w:rPr>
              <w:t>2 lata na wyjście z Systemu</w:t>
            </w:r>
            <w:r w:rsidR="007C2755">
              <w:rPr>
                <w:rFonts w:asciiTheme="minorHAnsi" w:hAnsiTheme="minorHAnsi" w:cstheme="minorHAnsi"/>
                <w:sz w:val="22"/>
                <w:szCs w:val="22"/>
              </w:rPr>
              <w:t>, jednak oryginały dokumentacji pracowniczej pozostaną w systemie</w:t>
            </w:r>
            <w:r w:rsidR="007C6D3E" w:rsidRPr="00194232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51CD1FA7" w14:textId="51E7F9ED" w:rsidR="007C6D3E" w:rsidRPr="00194232" w:rsidRDefault="00194232" w:rsidP="005805C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W tym zakresie zostaną uzupełnione przepisy projektu ustawy.</w:t>
            </w:r>
          </w:p>
          <w:p w14:paraId="785F6122" w14:textId="166C8C8D" w:rsidR="0005201F" w:rsidRPr="000957DB" w:rsidRDefault="0005201F" w:rsidP="004235F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24DB7" w:rsidRPr="009F56C9" w14:paraId="26CCDAE0" w14:textId="77777777" w:rsidTr="004C7B36">
        <w:tc>
          <w:tcPr>
            <w:tcW w:w="562" w:type="dxa"/>
            <w:shd w:val="clear" w:color="auto" w:fill="auto"/>
          </w:tcPr>
          <w:p w14:paraId="7D42585D" w14:textId="33C8BDEC" w:rsidR="00024DB7" w:rsidRDefault="00024DB7" w:rsidP="00024DB7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11</w:t>
            </w:r>
            <w:r w:rsidR="005528D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544DB52" w14:textId="334F3701" w:rsidR="00024DB7" w:rsidRDefault="00024DB7" w:rsidP="00024DB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14:paraId="6D9EDC96" w14:textId="00FDEE2B" w:rsidR="00024DB7" w:rsidRDefault="00024DB7" w:rsidP="00024DB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2DBD">
              <w:rPr>
                <w:rFonts w:asciiTheme="minorHAnsi" w:hAnsiTheme="minorHAnsi" w:cstheme="minorHAnsi"/>
                <w:sz w:val="22"/>
                <w:szCs w:val="22"/>
              </w:rPr>
              <w:t>art. 4 ust. 4</w:t>
            </w:r>
          </w:p>
        </w:tc>
        <w:tc>
          <w:tcPr>
            <w:tcW w:w="5103" w:type="dxa"/>
            <w:shd w:val="clear" w:color="auto" w:fill="auto"/>
          </w:tcPr>
          <w:p w14:paraId="028153D1" w14:textId="28A6A211" w:rsidR="00024DB7" w:rsidRDefault="00024DB7" w:rsidP="00024DB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2DBD">
              <w:rPr>
                <w:rFonts w:asciiTheme="minorHAnsi" w:hAnsiTheme="minorHAnsi" w:cstheme="minorHAnsi"/>
                <w:sz w:val="22"/>
                <w:szCs w:val="22"/>
              </w:rPr>
              <w:t>Wskazujemy na potrzebę ujednolicenia pojęć używanych w art. 4 ust. 3 i 4 projektowanej ustawy.</w:t>
            </w:r>
          </w:p>
        </w:tc>
        <w:tc>
          <w:tcPr>
            <w:tcW w:w="2977" w:type="dxa"/>
            <w:shd w:val="clear" w:color="auto" w:fill="auto"/>
          </w:tcPr>
          <w:p w14:paraId="36792D00" w14:textId="1BA433BB" w:rsidR="00024DB7" w:rsidRPr="009F56C9" w:rsidRDefault="00024DB7" w:rsidP="0092276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02DBD">
              <w:rPr>
                <w:rFonts w:asciiTheme="minorHAnsi" w:hAnsiTheme="minorHAnsi" w:cstheme="minorHAnsi"/>
                <w:sz w:val="22"/>
                <w:szCs w:val="22"/>
              </w:rPr>
              <w:t>W art. 4 w ust. 4 wyrazy „Dokumenty ubezpieczeniowe” należy zastąpić wyrazami „Dane ubezpieczeniowe”</w:t>
            </w:r>
          </w:p>
        </w:tc>
        <w:tc>
          <w:tcPr>
            <w:tcW w:w="3769" w:type="dxa"/>
          </w:tcPr>
          <w:p w14:paraId="05614BD7" w14:textId="77777777" w:rsidR="00024DB7" w:rsidRPr="00202DBD" w:rsidRDefault="00024DB7" w:rsidP="00024DB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2DB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Uwaga uwzględniona. </w:t>
            </w:r>
          </w:p>
          <w:p w14:paraId="61C03C0E" w14:textId="00A72A19" w:rsidR="00024DB7" w:rsidRPr="00194232" w:rsidRDefault="00024DB7" w:rsidP="0092276D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02DBD">
              <w:rPr>
                <w:rFonts w:asciiTheme="minorHAnsi" w:hAnsiTheme="minorHAnsi" w:cstheme="minorHAnsi"/>
                <w:sz w:val="22"/>
                <w:szCs w:val="22"/>
              </w:rPr>
              <w:t>Zmieniony zostanie art.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202DBD">
              <w:rPr>
                <w:rFonts w:asciiTheme="minorHAnsi" w:hAnsiTheme="minorHAnsi" w:cstheme="minorHAnsi"/>
                <w:sz w:val="22"/>
                <w:szCs w:val="22"/>
              </w:rPr>
              <w:t>4 w ust. 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projektowanej ustawy. </w:t>
            </w:r>
          </w:p>
        </w:tc>
      </w:tr>
    </w:tbl>
    <w:p w14:paraId="5033DA1D" w14:textId="0F571146" w:rsidR="00C64B1B" w:rsidRPr="009F56C9" w:rsidRDefault="00C64B1B" w:rsidP="009F56C9">
      <w:pPr>
        <w:jc w:val="center"/>
        <w:rPr>
          <w:rFonts w:asciiTheme="minorHAnsi" w:hAnsiTheme="minorHAnsi" w:cstheme="minorHAnsi"/>
          <w:sz w:val="22"/>
          <w:szCs w:val="22"/>
        </w:rPr>
      </w:pPr>
    </w:p>
    <w:sectPr w:rsidR="00C64B1B" w:rsidRPr="009F56C9" w:rsidSect="004C7B36">
      <w:footerReference w:type="default" r:id="rId7"/>
      <w:pgSz w:w="16838" w:h="11906" w:orient="landscape"/>
      <w:pgMar w:top="426" w:right="720" w:bottom="426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DFD5E6" w14:textId="77777777" w:rsidR="00FD0497" w:rsidRDefault="00FD0497" w:rsidP="003E1012">
      <w:r>
        <w:separator/>
      </w:r>
    </w:p>
  </w:endnote>
  <w:endnote w:type="continuationSeparator" w:id="0">
    <w:p w14:paraId="41E53CD4" w14:textId="77777777" w:rsidR="00FD0497" w:rsidRDefault="00FD0497" w:rsidP="003E1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ajorEastAsia" w:hAnsiTheme="minorHAnsi" w:cstheme="minorHAnsi"/>
        <w:sz w:val="16"/>
        <w:szCs w:val="16"/>
      </w:rPr>
      <w:id w:val="-1784178982"/>
      <w:docPartObj>
        <w:docPartGallery w:val="Page Numbers (Bottom of Page)"/>
        <w:docPartUnique/>
      </w:docPartObj>
    </w:sdtPr>
    <w:sdtEndPr/>
    <w:sdtContent>
      <w:p w14:paraId="54693F21" w14:textId="0F133664" w:rsidR="007958D5" w:rsidRPr="007958D5" w:rsidRDefault="007958D5">
        <w:pPr>
          <w:pStyle w:val="Stopka"/>
          <w:jc w:val="right"/>
          <w:rPr>
            <w:rFonts w:asciiTheme="minorHAnsi" w:eastAsiaTheme="majorEastAsia" w:hAnsiTheme="minorHAnsi" w:cstheme="minorHAnsi"/>
            <w:sz w:val="16"/>
            <w:szCs w:val="16"/>
          </w:rPr>
        </w:pPr>
        <w:r w:rsidRPr="007958D5">
          <w:rPr>
            <w:rFonts w:asciiTheme="minorHAnsi" w:eastAsiaTheme="majorEastAsia" w:hAnsiTheme="minorHAnsi" w:cstheme="minorHAnsi"/>
            <w:sz w:val="16"/>
            <w:szCs w:val="16"/>
          </w:rPr>
          <w:t xml:space="preserve">str. </w:t>
        </w:r>
        <w:r w:rsidRPr="007958D5">
          <w:rPr>
            <w:rFonts w:asciiTheme="minorHAnsi" w:eastAsiaTheme="minorEastAsia" w:hAnsiTheme="minorHAnsi" w:cstheme="minorHAnsi"/>
            <w:sz w:val="16"/>
            <w:szCs w:val="16"/>
          </w:rPr>
          <w:fldChar w:fldCharType="begin"/>
        </w:r>
        <w:r w:rsidRPr="007958D5">
          <w:rPr>
            <w:rFonts w:asciiTheme="minorHAnsi" w:hAnsiTheme="minorHAnsi" w:cstheme="minorHAnsi"/>
            <w:sz w:val="16"/>
            <w:szCs w:val="16"/>
          </w:rPr>
          <w:instrText>PAGE    \* MERGEFORMAT</w:instrText>
        </w:r>
        <w:r w:rsidRPr="007958D5">
          <w:rPr>
            <w:rFonts w:asciiTheme="minorHAnsi" w:eastAsiaTheme="minorEastAsia" w:hAnsiTheme="minorHAnsi" w:cstheme="minorHAnsi"/>
            <w:sz w:val="16"/>
            <w:szCs w:val="16"/>
          </w:rPr>
          <w:fldChar w:fldCharType="separate"/>
        </w:r>
        <w:r w:rsidRPr="007958D5">
          <w:rPr>
            <w:rFonts w:asciiTheme="minorHAnsi" w:eastAsiaTheme="majorEastAsia" w:hAnsiTheme="minorHAnsi" w:cstheme="minorHAnsi"/>
            <w:sz w:val="16"/>
            <w:szCs w:val="16"/>
          </w:rPr>
          <w:t>2</w:t>
        </w:r>
        <w:r w:rsidRPr="007958D5">
          <w:rPr>
            <w:rFonts w:asciiTheme="minorHAnsi" w:eastAsiaTheme="majorEastAsia" w:hAnsiTheme="minorHAnsi" w:cstheme="minorHAnsi"/>
            <w:sz w:val="16"/>
            <w:szCs w:val="16"/>
          </w:rPr>
          <w:fldChar w:fldCharType="end"/>
        </w:r>
      </w:p>
    </w:sdtContent>
  </w:sdt>
  <w:p w14:paraId="684D3FD4" w14:textId="77777777" w:rsidR="007958D5" w:rsidRDefault="007958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7E1581" w14:textId="77777777" w:rsidR="00FD0497" w:rsidRDefault="00FD0497" w:rsidP="003E1012">
      <w:r>
        <w:separator/>
      </w:r>
    </w:p>
  </w:footnote>
  <w:footnote w:type="continuationSeparator" w:id="0">
    <w:p w14:paraId="0FB5CC59" w14:textId="77777777" w:rsidR="00FD0497" w:rsidRDefault="00FD0497" w:rsidP="003E1012">
      <w:r>
        <w:continuationSeparator/>
      </w:r>
    </w:p>
  </w:footnote>
  <w:footnote w:id="1">
    <w:p w14:paraId="1071B7E3" w14:textId="77777777" w:rsidR="003E1012" w:rsidRPr="001008A4" w:rsidRDefault="003E1012" w:rsidP="0097181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1008A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008A4">
        <w:rPr>
          <w:rFonts w:asciiTheme="minorHAnsi" w:hAnsiTheme="minorHAnsi" w:cstheme="minorHAnsi"/>
          <w:sz w:val="16"/>
          <w:szCs w:val="16"/>
        </w:rPr>
        <w:t xml:space="preserve"> tj. Dz.U. z 2022 r. poz. 1360, dalej: „k.c.”</w:t>
      </w:r>
    </w:p>
  </w:footnote>
  <w:footnote w:id="2">
    <w:p w14:paraId="75A83410" w14:textId="77777777" w:rsidR="003E1012" w:rsidRPr="001008A4" w:rsidRDefault="003E1012" w:rsidP="0097181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1008A4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1008A4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1008A4">
        <w:rPr>
          <w:rStyle w:val="Pogrubienie"/>
          <w:rFonts w:asciiTheme="minorHAnsi" w:hAnsiTheme="minorHAnsi" w:cstheme="minorHAnsi"/>
          <w:b w:val="0"/>
          <w:bCs w:val="0"/>
          <w:sz w:val="16"/>
          <w:szCs w:val="16"/>
        </w:rPr>
        <w:t>rozporządzenia Parlamentu Europejskiego i Rady (UE) nr 910/2014 z 23 lipca 2014 r. w sprawie identyfikacji elektronicznej i usług zaufania w odniesieniu do transakcji elektronicznych na rynku wewnętrznym oraz uchylające dyrektywę 1999/93/WE</w:t>
      </w:r>
      <w:r w:rsidRPr="001008A4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1008A4">
        <w:rPr>
          <w:rStyle w:val="Pogrubienie"/>
          <w:rFonts w:asciiTheme="minorHAnsi" w:hAnsiTheme="minorHAnsi" w:cstheme="minorHAnsi"/>
          <w:b w:val="0"/>
          <w:bCs w:val="0"/>
          <w:sz w:val="16"/>
          <w:szCs w:val="16"/>
        </w:rPr>
        <w:t xml:space="preserve"> (dalej: rozporządzenie eIDAS)</w:t>
      </w:r>
    </w:p>
  </w:footnote>
  <w:footnote w:id="3">
    <w:p w14:paraId="50E23748" w14:textId="77777777" w:rsidR="003E1012" w:rsidRPr="001008A4" w:rsidRDefault="003E1012" w:rsidP="0097181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1008A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008A4">
        <w:rPr>
          <w:rFonts w:asciiTheme="minorHAnsi" w:hAnsiTheme="minorHAnsi" w:cstheme="minorHAnsi"/>
          <w:sz w:val="16"/>
          <w:szCs w:val="16"/>
        </w:rPr>
        <w:t xml:space="preserve"> Zgodnie z art. 25 ust. 2 rozporządzenia eIDAS kwalifikowany podpis elektroniczny ma skutek prawny równoważny podpisowi własnoręcznemu.</w:t>
      </w:r>
    </w:p>
  </w:footnote>
  <w:footnote w:id="4">
    <w:p w14:paraId="116FAD89" w14:textId="77777777" w:rsidR="003E1012" w:rsidRPr="001008A4" w:rsidRDefault="003E1012" w:rsidP="0097181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1008A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1008A4">
        <w:rPr>
          <w:rFonts w:asciiTheme="minorHAnsi" w:hAnsiTheme="minorHAnsi" w:cstheme="minorHAnsi"/>
          <w:sz w:val="16"/>
          <w:szCs w:val="16"/>
        </w:rPr>
        <w:t xml:space="preserve"> Zgodnie z motywem 49 do rozporządzenia eIDAS rozporządzenie powinno wprowadzić zasadę, że nie należy kwestionować skutku prawnego podpisu elektronicznego z tego powodu, że podpis ten ma postać elektroniczną lub że nie spełnia wszystkich wymogów kwalifikowanego podpisu elektronicznego. Jednakże to w prawie krajowym należy zdefiniować skutek prawny podpisów elektronicznych, z wyjątkiem wymogów przewidzianych w niniejszym rozporządzeniu, zgodnie z którymi kwalifikowany podpis elektroniczny powinien mieć skutek prawny równoważny podpisowi własnoręcznemu.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24DB7"/>
    <w:rsid w:val="00034258"/>
    <w:rsid w:val="0005201F"/>
    <w:rsid w:val="0008069E"/>
    <w:rsid w:val="000957DB"/>
    <w:rsid w:val="001008A4"/>
    <w:rsid w:val="00133844"/>
    <w:rsid w:val="00140BE8"/>
    <w:rsid w:val="00155BCA"/>
    <w:rsid w:val="00194232"/>
    <w:rsid w:val="0019648E"/>
    <w:rsid w:val="002269F3"/>
    <w:rsid w:val="00256E97"/>
    <w:rsid w:val="002715B2"/>
    <w:rsid w:val="00277845"/>
    <w:rsid w:val="002B35B0"/>
    <w:rsid w:val="003124D1"/>
    <w:rsid w:val="003B4105"/>
    <w:rsid w:val="003C11C1"/>
    <w:rsid w:val="003D0160"/>
    <w:rsid w:val="003D2BB5"/>
    <w:rsid w:val="003E1012"/>
    <w:rsid w:val="004235FA"/>
    <w:rsid w:val="004622D1"/>
    <w:rsid w:val="004849B8"/>
    <w:rsid w:val="004956E8"/>
    <w:rsid w:val="004C7B36"/>
    <w:rsid w:val="004D086F"/>
    <w:rsid w:val="00537CC6"/>
    <w:rsid w:val="005528D7"/>
    <w:rsid w:val="005805C2"/>
    <w:rsid w:val="005B592C"/>
    <w:rsid w:val="005D7709"/>
    <w:rsid w:val="005F6527"/>
    <w:rsid w:val="0060496F"/>
    <w:rsid w:val="00633043"/>
    <w:rsid w:val="00647322"/>
    <w:rsid w:val="006677B2"/>
    <w:rsid w:val="006705EC"/>
    <w:rsid w:val="006922C2"/>
    <w:rsid w:val="006B5D19"/>
    <w:rsid w:val="006E16E9"/>
    <w:rsid w:val="00700A79"/>
    <w:rsid w:val="00710A8A"/>
    <w:rsid w:val="0071769A"/>
    <w:rsid w:val="007608EB"/>
    <w:rsid w:val="007958D5"/>
    <w:rsid w:val="007C2755"/>
    <w:rsid w:val="007C6D3E"/>
    <w:rsid w:val="00807385"/>
    <w:rsid w:val="00876E67"/>
    <w:rsid w:val="008D6388"/>
    <w:rsid w:val="0092276D"/>
    <w:rsid w:val="00944932"/>
    <w:rsid w:val="00960825"/>
    <w:rsid w:val="00964900"/>
    <w:rsid w:val="00966CCD"/>
    <w:rsid w:val="00967778"/>
    <w:rsid w:val="009E5FDB"/>
    <w:rsid w:val="009F320A"/>
    <w:rsid w:val="009F56C9"/>
    <w:rsid w:val="00A06392"/>
    <w:rsid w:val="00A06425"/>
    <w:rsid w:val="00A47FA6"/>
    <w:rsid w:val="00A77C8D"/>
    <w:rsid w:val="00AA04E2"/>
    <w:rsid w:val="00AA5F95"/>
    <w:rsid w:val="00AC7796"/>
    <w:rsid w:val="00B62D24"/>
    <w:rsid w:val="00B66957"/>
    <w:rsid w:val="00B871B6"/>
    <w:rsid w:val="00BA76D1"/>
    <w:rsid w:val="00BD7D36"/>
    <w:rsid w:val="00BE592F"/>
    <w:rsid w:val="00BF445F"/>
    <w:rsid w:val="00C42F93"/>
    <w:rsid w:val="00C64B1B"/>
    <w:rsid w:val="00C67A8F"/>
    <w:rsid w:val="00C72386"/>
    <w:rsid w:val="00CC499D"/>
    <w:rsid w:val="00CC6F6D"/>
    <w:rsid w:val="00CD55D6"/>
    <w:rsid w:val="00CD5EB0"/>
    <w:rsid w:val="00CD7356"/>
    <w:rsid w:val="00CE4E57"/>
    <w:rsid w:val="00D05306"/>
    <w:rsid w:val="00D57A0A"/>
    <w:rsid w:val="00D740F3"/>
    <w:rsid w:val="00DF188A"/>
    <w:rsid w:val="00E14C33"/>
    <w:rsid w:val="00E14EDE"/>
    <w:rsid w:val="00E57942"/>
    <w:rsid w:val="00E865B6"/>
    <w:rsid w:val="00EE5C0B"/>
    <w:rsid w:val="00EF2DC7"/>
    <w:rsid w:val="00F52A89"/>
    <w:rsid w:val="00F861B2"/>
    <w:rsid w:val="00FC1C2D"/>
    <w:rsid w:val="00FD0497"/>
    <w:rsid w:val="00FD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99FDA0"/>
  <w15:docId w15:val="{4162462F-55D8-4CFF-A970-B0DD28DA3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E10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E1012"/>
  </w:style>
  <w:style w:type="character" w:styleId="Odwoanieprzypisudolnego">
    <w:name w:val="footnote reference"/>
    <w:basedOn w:val="Domylnaczcionkaakapitu"/>
    <w:uiPriority w:val="99"/>
    <w:unhideWhenUsed/>
    <w:rsid w:val="003E1012"/>
    <w:rPr>
      <w:vertAlign w:val="superscript"/>
    </w:rPr>
  </w:style>
  <w:style w:type="character" w:styleId="Pogrubienie">
    <w:name w:val="Strong"/>
    <w:uiPriority w:val="22"/>
    <w:qFormat/>
    <w:rsid w:val="003E1012"/>
    <w:rPr>
      <w:rFonts w:ascii="Times New Roman" w:hAnsi="Times New Roman" w:cs="Times New Roman" w:hint="default"/>
      <w:b/>
      <w:bCs/>
    </w:rPr>
  </w:style>
  <w:style w:type="character" w:styleId="Odwoaniedokomentarza">
    <w:name w:val="annotation reference"/>
    <w:basedOn w:val="Domylnaczcionkaakapitu"/>
    <w:rsid w:val="00CC6F6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C6F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C6F6D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C6F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C6F6D"/>
    <w:rPr>
      <w:b/>
      <w:bCs/>
    </w:rPr>
  </w:style>
  <w:style w:type="paragraph" w:styleId="Tekstprzypisukocowego">
    <w:name w:val="endnote text"/>
    <w:basedOn w:val="Normalny"/>
    <w:link w:val="TekstprzypisukocowegoZnak"/>
    <w:rsid w:val="001338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133844"/>
  </w:style>
  <w:style w:type="character" w:styleId="Odwoanieprzypisukocowego">
    <w:name w:val="endnote reference"/>
    <w:basedOn w:val="Domylnaczcionkaakapitu"/>
    <w:rsid w:val="00133844"/>
    <w:rPr>
      <w:vertAlign w:val="superscript"/>
    </w:rPr>
  </w:style>
  <w:style w:type="paragraph" w:styleId="Nagwek">
    <w:name w:val="header"/>
    <w:basedOn w:val="Normalny"/>
    <w:link w:val="NagwekZnak"/>
    <w:unhideWhenUsed/>
    <w:rsid w:val="007958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958D5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958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58D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89FC1-80BF-4EC8-8174-E5A2BE3BF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2412</Words>
  <Characters>14475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Iwona Szulc</cp:lastModifiedBy>
  <cp:revision>12</cp:revision>
  <cp:lastPrinted>2022-07-25T08:34:00Z</cp:lastPrinted>
  <dcterms:created xsi:type="dcterms:W3CDTF">2022-07-25T08:30:00Z</dcterms:created>
  <dcterms:modified xsi:type="dcterms:W3CDTF">2022-07-25T16:57:00Z</dcterms:modified>
</cp:coreProperties>
</file>